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D26617" w:rsidP="00A11F99">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EMPL-B-2</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D26617" w:rsidRPr="00D26617" w:rsidRDefault="00D26617" w:rsidP="00D26617">
            <w:pPr>
              <w:rPr>
                <w:rFonts w:ascii="Times New Roman" w:hAnsi="Times New Roman" w:cs="Times New Roman"/>
                <w:b/>
              </w:rPr>
            </w:pPr>
            <w:r w:rsidRPr="00D26617">
              <w:rPr>
                <w:rFonts w:ascii="Times New Roman" w:hAnsi="Times New Roman" w:cs="Times New Roman"/>
                <w:b/>
              </w:rPr>
              <w:t xml:space="preserve">Alison </w:t>
            </w:r>
            <w:proofErr w:type="spellStart"/>
            <w:r w:rsidRPr="00D26617">
              <w:rPr>
                <w:rFonts w:ascii="Times New Roman" w:hAnsi="Times New Roman" w:cs="Times New Roman"/>
                <w:b/>
              </w:rPr>
              <w:t>Crabb</w:t>
            </w:r>
            <w:proofErr w:type="spellEnd"/>
          </w:p>
          <w:p w:rsidR="00D26617" w:rsidRPr="00D26617" w:rsidRDefault="005A2A39" w:rsidP="00D26617">
            <w:pPr>
              <w:rPr>
                <w:rFonts w:ascii="Times New Roman" w:hAnsi="Times New Roman" w:cs="Times New Roman"/>
                <w:b/>
              </w:rPr>
            </w:pPr>
            <w:hyperlink r:id="rId8" w:history="1">
              <w:r w:rsidR="00D26617" w:rsidRPr="00C14C4D">
                <w:rPr>
                  <w:rStyle w:val="Hyperlink"/>
                  <w:rFonts w:ascii="Times New Roman" w:hAnsi="Times New Roman" w:cs="Times New Roman"/>
                  <w:b/>
                </w:rPr>
                <w:t>alison.crabb@ec.europa.eu</w:t>
              </w:r>
            </w:hyperlink>
            <w:r w:rsidR="00D26617">
              <w:rPr>
                <w:rFonts w:ascii="Times New Roman" w:hAnsi="Times New Roman" w:cs="Times New Roman"/>
                <w:b/>
              </w:rPr>
              <w:t xml:space="preserve"> </w:t>
            </w:r>
            <w:r w:rsidR="00D26617" w:rsidRPr="00D26617">
              <w:rPr>
                <w:rFonts w:ascii="Times New Roman" w:hAnsi="Times New Roman" w:cs="Times New Roman"/>
                <w:b/>
              </w:rPr>
              <w:t xml:space="preserve"> </w:t>
            </w:r>
          </w:p>
          <w:p w:rsidR="00381739" w:rsidRDefault="00D26617" w:rsidP="00D26617">
            <w:pPr>
              <w:rPr>
                <w:rFonts w:ascii="Times New Roman" w:hAnsi="Times New Roman" w:cs="Times New Roman"/>
                <w:b/>
              </w:rPr>
            </w:pPr>
            <w:r w:rsidRPr="005A2A39">
              <w:rPr>
                <w:rFonts w:ascii="Times New Roman" w:hAnsi="Times New Roman" w:cs="Times New Roman"/>
                <w:b/>
              </w:rPr>
              <w:t>+32 229-59223</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5A2A39"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5A2A39">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A11F99">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9C158C"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E7539B">
              <w:rPr>
                <w:rFonts w:ascii="Times New Roman" w:eastAsia="Times New Roman" w:hAnsi="Times New Roman" w:cs="Times New Roman"/>
                <w:b/>
                <w:lang w:eastAsia="en-GB"/>
              </w:rPr>
              <w:t>Luxembourg</w:t>
            </w:r>
            <w:r w:rsidR="00745B97" w:rsidRPr="00745B97">
              <w:rPr>
                <w:rFonts w:ascii="Times New Roman" w:eastAsia="Times New Roman" w:hAnsi="Times New Roman" w:cs="Times New Roman"/>
                <w:b/>
                <w:lang w:eastAsia="en-GB"/>
              </w:rPr>
              <w:t xml:space="preserve">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E7539B">
              <w:rPr>
                <w:rFonts w:ascii="Times New Roman" w:eastAsia="Times New Roman" w:hAnsi="Times New Roman" w:cs="Times New Roman"/>
                <w:b/>
                <w:lang w:eastAsia="en-GB"/>
              </w:rPr>
              <w:t> </w:t>
            </w:r>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804B2F"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pays tiers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organisations intergouvernementales suivantes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AF2938">
      <w:pPr>
        <w:pStyle w:val="ListParagraph"/>
        <w:numPr>
          <w:ilvl w:val="0"/>
          <w:numId w:val="5"/>
        </w:numPr>
        <w:tabs>
          <w:tab w:val="left" w:pos="426"/>
        </w:tabs>
        <w:spacing w:after="0" w:line="240" w:lineRule="auto"/>
        <w:ind w:left="0" w:firstLine="6"/>
        <w:rPr>
          <w:rFonts w:ascii="Times New Roman" w:eastAsia="Times New Roman" w:hAnsi="Times New Roman" w:cs="Times New Roman"/>
          <w:b/>
          <w:sz w:val="24"/>
          <w:szCs w:val="20"/>
          <w:u w:val="single"/>
          <w:lang w:eastAsia="en-GB"/>
        </w:rPr>
      </w:pPr>
      <w:r w:rsidRPr="00E7539B">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 xml:space="preserve">L’unité EMPL B2 « Stratégie en matière de compétences » vise à aider les adultes de toute l’Europe à améliorer leurs compétences et à rendre les compétences et les qualifications des citoyens plus compréhensibles à travers les frontières, en soutenant les transitions et reconversions professionnelles, ainsi que la mobilité à des fins d’emploi ou de formation. Nous coordonnons </w:t>
      </w:r>
      <w:hyperlink r:id="rId9" w:history="1">
        <w:r w:rsidR="005A2A39" w:rsidRPr="005A2A39">
          <w:rPr>
            <w:rFonts w:ascii="Times New Roman" w:hAnsi="Times New Roman" w:cs="Times New Roman"/>
            <w:color w:val="0000FF"/>
            <w:u w:val="single"/>
          </w:rPr>
          <w:t>stratégie européenne en matière de compétences</w:t>
        </w:r>
      </w:hyperlink>
      <w:r w:rsidRPr="00D26617">
        <w:rPr>
          <w:rFonts w:ascii="Times New Roman" w:eastAsia="Times New Roman" w:hAnsi="Times New Roman" w:cs="Times New Roman"/>
          <w:lang w:eastAsia="en-GB"/>
        </w:rPr>
        <w:t xml:space="preserve">, en travaillant au sein de la Commission afin que ses 12 actions phares produisent leurs effets sur le terrain. </w:t>
      </w: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 xml:space="preserve">Nous sommes à la tête de la coopération de l’UE en matière de compétences des adultes, y compris le « pacte pour les compétences ». Celui-ci vise à engager les parties prenantes à offrir des possibilités d’apprentissage aux adultes, et à développer des politiques qui donnent aux adultes les moyens d’apprendre, y compris une initiative sur les comptes individuels de l’apprentissage, la mise en œuvre de parcours de renforcement des compétences et les politiques de l’UE en matière de validation et d’orientation. </w:t>
      </w: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 xml:space="preserve">Nous nous efforçons de rendre les compétences et les qualifications des citoyens plus compréhensibles par-delà les frontières. Nous gérons le cadre européen des certifications (CEC), qui aide les personnes à déterminer l’équivalence d’un niveau de certification d’un pays européen à un autre. </w:t>
      </w:r>
      <w:r w:rsidR="005A2A39">
        <w:rPr>
          <w:rFonts w:ascii="Times New Roman" w:eastAsia="Times New Roman" w:hAnsi="Times New Roman" w:cs="Times New Roman"/>
          <w:lang w:eastAsia="en-GB"/>
        </w:rPr>
        <w:t>Nous gérons également</w:t>
      </w:r>
      <w:r w:rsidRPr="00D26617">
        <w:rPr>
          <w:rFonts w:ascii="Times New Roman" w:eastAsia="Times New Roman" w:hAnsi="Times New Roman" w:cs="Times New Roman"/>
          <w:lang w:eastAsia="en-GB"/>
        </w:rPr>
        <w:t xml:space="preserve"> l’outil de profilage des compétences pour les ressortissants de pays tiers afin d’aider les migrants et les réfugiés </w:t>
      </w:r>
      <w:r w:rsidR="005A2A39" w:rsidRPr="005A2A39">
        <w:rPr>
          <w:rFonts w:ascii="Times New Roman" w:eastAsia="Times New Roman" w:hAnsi="Times New Roman" w:cs="Times New Roman"/>
          <w:lang w:eastAsia="en-GB"/>
        </w:rPr>
        <w:t>à obtenir une meilleure reconnaissance de leurs compétences et à franchir l</w:t>
      </w:r>
      <w:r w:rsidR="005A2A39">
        <w:rPr>
          <w:rFonts w:ascii="Times New Roman" w:eastAsia="Times New Roman" w:hAnsi="Times New Roman" w:cs="Times New Roman"/>
          <w:lang w:eastAsia="en-GB"/>
        </w:rPr>
        <w:t>’</w:t>
      </w:r>
      <w:r w:rsidR="005A2A39" w:rsidRPr="005A2A39">
        <w:rPr>
          <w:rFonts w:ascii="Times New Roman" w:eastAsia="Times New Roman" w:hAnsi="Times New Roman" w:cs="Times New Roman"/>
          <w:lang w:eastAsia="en-GB"/>
        </w:rPr>
        <w:t xml:space="preserve">étape supplémentaire pour leur intégration. </w:t>
      </w:r>
      <w:r w:rsidRPr="00D26617">
        <w:rPr>
          <w:rFonts w:ascii="Times New Roman" w:eastAsia="Times New Roman" w:hAnsi="Times New Roman" w:cs="Times New Roman"/>
          <w:lang w:eastAsia="en-GB"/>
        </w:rPr>
        <w:t xml:space="preserve"> </w:t>
      </w: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p>
    <w:p w:rsidR="00D26617" w:rsidRPr="00D26617" w:rsidRDefault="00D26617" w:rsidP="005A2A39">
      <w:pPr>
        <w:pStyle w:val="ListParagraph"/>
        <w:spacing w:after="0" w:line="240" w:lineRule="auto"/>
        <w:ind w:left="426"/>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Le collègue retenu sera chargé d’apporter son soutien à l’unité dans le cadre des politiques et instruments en matière de compétences et de certifications, et plus particulièrement</w:t>
      </w:r>
      <w:r w:rsidR="005A2A39">
        <w:rPr>
          <w:rFonts w:ascii="Times New Roman" w:eastAsia="Times New Roman" w:hAnsi="Times New Roman" w:cs="Times New Roman"/>
          <w:lang w:eastAsia="en-GB"/>
        </w:rPr>
        <w:t xml:space="preserve"> </w:t>
      </w:r>
      <w:r w:rsidR="005A2A39" w:rsidRPr="005A2A39">
        <w:rPr>
          <w:rFonts w:ascii="Times New Roman" w:eastAsia="Times New Roman" w:hAnsi="Times New Roman" w:cs="Times New Roman"/>
          <w:lang w:eastAsia="en-GB"/>
        </w:rPr>
        <w:t xml:space="preserve">sur les propositions politiques, la mise en œuvre et le suivi des </w:t>
      </w:r>
      <w:r w:rsidR="005A2A39" w:rsidRPr="005A2A39">
        <w:rPr>
          <w:rFonts w:ascii="Times New Roman" w:eastAsia="Times New Roman" w:hAnsi="Times New Roman" w:cs="Times New Roman"/>
          <w:u w:val="single"/>
          <w:lang w:eastAsia="en-GB"/>
        </w:rPr>
        <w:t>comptes individuels d’apprentissage</w:t>
      </w:r>
      <w:r w:rsidR="005A2A39" w:rsidRPr="005A2A39">
        <w:rPr>
          <w:rFonts w:ascii="Times New Roman" w:eastAsia="Times New Roman" w:hAnsi="Times New Roman" w:cs="Times New Roman"/>
          <w:lang w:eastAsia="en-GB"/>
        </w:rPr>
        <w:t xml:space="preserve"> et le cadre facilitateur pour une participation accrue </w:t>
      </w: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p>
    <w:p w:rsidR="00D26617" w:rsidRDefault="00D26617" w:rsidP="00D26617">
      <w:pPr>
        <w:pStyle w:val="ListParagraph"/>
        <w:spacing w:after="0" w:line="240" w:lineRule="auto"/>
        <w:ind w:left="426"/>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 xml:space="preserve">Dans le cadre de son travail, il/elle sera amené(e) à: </w:t>
      </w:r>
    </w:p>
    <w:p w:rsidR="00D26617" w:rsidRPr="00D26617" w:rsidRDefault="00D26617" w:rsidP="00D26617">
      <w:pPr>
        <w:pStyle w:val="ListParagraph"/>
        <w:spacing w:after="0" w:line="240" w:lineRule="auto"/>
        <w:ind w:left="426"/>
        <w:jc w:val="both"/>
        <w:rPr>
          <w:rFonts w:ascii="Times New Roman" w:eastAsia="Times New Roman" w:hAnsi="Times New Roman" w:cs="Times New Roman"/>
          <w:lang w:eastAsia="en-GB"/>
        </w:rPr>
      </w:pPr>
    </w:p>
    <w:p w:rsidR="00D26617" w:rsidRPr="00D26617" w:rsidRDefault="00D26617" w:rsidP="00D26617">
      <w:pPr>
        <w:pStyle w:val="ListParagraph"/>
        <w:numPr>
          <w:ilvl w:val="0"/>
          <w:numId w:val="20"/>
        </w:numPr>
        <w:spacing w:after="0" w:line="240" w:lineRule="auto"/>
        <w:ind w:left="709" w:hanging="283"/>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Rédiger des documents d’orientation, suivre l’élaboration des politiques et fournir des informations et une analyse des politiques</w:t>
      </w:r>
    </w:p>
    <w:p w:rsidR="00D26617" w:rsidRPr="00D26617" w:rsidRDefault="00D26617" w:rsidP="00D26617">
      <w:pPr>
        <w:pStyle w:val="ListParagraph"/>
        <w:numPr>
          <w:ilvl w:val="0"/>
          <w:numId w:val="20"/>
        </w:numPr>
        <w:spacing w:after="0" w:line="240" w:lineRule="auto"/>
        <w:ind w:left="709" w:hanging="283"/>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Contribuer au développement et à la mise en œuvre d’outils en ligne sur les compétences et les certifications;</w:t>
      </w:r>
    </w:p>
    <w:p w:rsidR="00D26617" w:rsidRPr="00D26617" w:rsidRDefault="00D26617" w:rsidP="00D26617">
      <w:pPr>
        <w:pStyle w:val="ListParagraph"/>
        <w:numPr>
          <w:ilvl w:val="0"/>
          <w:numId w:val="20"/>
        </w:numPr>
        <w:spacing w:after="0" w:line="240" w:lineRule="auto"/>
        <w:ind w:left="709" w:hanging="283"/>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Préparer des notes d’information, des discours, des réponses aux questions parlementaires et des consultations interservices sur la politique en matière de compétences et de qualifications</w:t>
      </w:r>
    </w:p>
    <w:p w:rsidR="00D26617" w:rsidRPr="00D26617" w:rsidRDefault="00D26617" w:rsidP="00D26617">
      <w:pPr>
        <w:pStyle w:val="ListParagraph"/>
        <w:numPr>
          <w:ilvl w:val="0"/>
          <w:numId w:val="20"/>
        </w:numPr>
        <w:spacing w:after="0" w:line="240" w:lineRule="auto"/>
        <w:ind w:left="709" w:hanging="283"/>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Coopérer étroitement avec d’autres services ou agences de la Commission, tels que la DG EAC, GROW, HOME, CNECT</w:t>
      </w:r>
    </w:p>
    <w:p w:rsidR="00D26617" w:rsidRPr="00D26617" w:rsidRDefault="00D26617" w:rsidP="00D26617">
      <w:pPr>
        <w:pStyle w:val="ListParagraph"/>
        <w:numPr>
          <w:ilvl w:val="0"/>
          <w:numId w:val="20"/>
        </w:numPr>
        <w:spacing w:after="0" w:line="240" w:lineRule="auto"/>
        <w:ind w:left="709" w:hanging="283"/>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 xml:space="preserve">Établir et entretenir des contacts réguliers avec les parties prenantes, d’autres institutions et/ou organisations, et faciliter l’échange d’informations entre les États membres dans le domaine d’action concerné, y compris la planification des événements; </w:t>
      </w:r>
    </w:p>
    <w:p w:rsidR="00AF2938" w:rsidRPr="00EA0190" w:rsidRDefault="00D26617" w:rsidP="00D26617">
      <w:pPr>
        <w:pStyle w:val="ListParagraph"/>
        <w:numPr>
          <w:ilvl w:val="0"/>
          <w:numId w:val="20"/>
        </w:numPr>
        <w:spacing w:after="0" w:line="240" w:lineRule="auto"/>
        <w:ind w:left="709" w:hanging="283"/>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Contribuer à la rédaction d’appels à propositions ou de dossiers d’appels d’offres, ainsi qu’à la préparat</w:t>
      </w:r>
      <w:r>
        <w:rPr>
          <w:rFonts w:ascii="Times New Roman" w:eastAsia="Times New Roman" w:hAnsi="Times New Roman" w:cs="Times New Roman"/>
          <w:lang w:eastAsia="en-GB"/>
        </w:rPr>
        <w:t>ion et/ou à la gestion d’études.</w:t>
      </w:r>
    </w:p>
    <w:p w:rsidR="00745B97" w:rsidRPr="00745B97" w:rsidRDefault="00745B97" w:rsidP="00745B97">
      <w:pPr>
        <w:spacing w:after="0" w:line="240" w:lineRule="auto"/>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E7539B">
      <w:pPr>
        <w:pStyle w:val="ListParagraph"/>
        <w:numPr>
          <w:ilvl w:val="0"/>
          <w:numId w:val="6"/>
        </w:numPr>
        <w:spacing w:after="0" w:line="240" w:lineRule="auto"/>
        <w:rPr>
          <w:rFonts w:ascii="Times New Roman" w:eastAsia="Times New Roman" w:hAnsi="Times New Roman" w:cs="Times New Roman"/>
          <w:b/>
          <w:lang w:eastAsia="en-GB"/>
        </w:rPr>
      </w:pPr>
      <w:r w:rsidRPr="00E7539B">
        <w:rPr>
          <w:rFonts w:ascii="Times New Roman" w:eastAsia="Times New Roman" w:hAnsi="Times New Roman" w:cs="Times New Roman"/>
          <w:b/>
          <w:lang w:eastAsia="en-GB"/>
        </w:rPr>
        <w:t>Critères d</w:t>
      </w:r>
      <w:r w:rsidR="00E7539B">
        <w:rPr>
          <w:rFonts w:ascii="Times New Roman" w:eastAsia="Times New Roman" w:hAnsi="Times New Roman" w:cs="Times New Roman"/>
          <w:b/>
          <w:lang w:eastAsia="en-GB"/>
        </w:rPr>
        <w:t>’</w:t>
      </w:r>
      <w:r w:rsidRPr="00E7539B">
        <w:rPr>
          <w:rFonts w:ascii="Times New Roman" w:eastAsia="Times New Roman" w:hAnsi="Times New Roman" w:cs="Times New Roman"/>
          <w:b/>
          <w:lang w:eastAsia="en-GB"/>
        </w:rPr>
        <w:t>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éligibilité doivent être obligatoirement remplis par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posséder une expérience professionnelle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trois ans dans des fonctions administratives, judiciaires, scientifiques, techniques, de conseil ou de supervision, à un grade équivalant au groupe de fonctions administrateur AD</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Ancienneté de service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ancienneté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un an auprès de son employeur, c</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est-à-dire être employé depuis au moins un an par un employeur éligible au sens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article 1 de la décision END, dans un cadre statutaire ou contractuel avant le détachement</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des langues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et une connaissance satisfaisante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autre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dans la mesure nécessaire aux fonctions qu</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il est appelé à exercer.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 pays tiers doit justifier posséder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nécessaire à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r w:rsidR="00D26617" w:rsidRPr="00D26617">
        <w:rPr>
          <w:rFonts w:ascii="Times New Roman" w:eastAsia="Times New Roman" w:hAnsi="Times New Roman" w:cs="Times New Roman"/>
          <w:lang w:eastAsia="en-GB"/>
        </w:rPr>
        <w:t>économie, sciences politiques, sciences de l’éducation, informatique</w:t>
      </w:r>
      <w:r w:rsidR="00F46399">
        <w:rPr>
          <w:rFonts w:ascii="Times New Roman" w:eastAsia="Times New Roman" w:hAnsi="Times New Roman" w:cs="Times New Roman"/>
          <w:lang w:eastAsia="en-GB"/>
        </w:rPr>
        <w:t>.</w:t>
      </w:r>
    </w:p>
    <w:p w:rsidR="00D26617" w:rsidRPr="00745B97" w:rsidRDefault="00D26617" w:rsidP="00745B97">
      <w:pPr>
        <w:tabs>
          <w:tab w:val="left" w:pos="709"/>
        </w:tabs>
        <w:spacing w:after="0" w:line="240" w:lineRule="auto"/>
        <w:ind w:left="709" w:right="60"/>
        <w:jc w:val="both"/>
        <w:rPr>
          <w:rFonts w:ascii="Times New Roman" w:eastAsia="Times New Roman" w:hAnsi="Times New Roman" w:cs="Times New Roman"/>
          <w:lang w:eastAsia="en-GB"/>
        </w:rPr>
      </w:pPr>
      <w:bookmarkStart w:id="0" w:name="_GoBack"/>
      <w:bookmarkEnd w:id="0"/>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26617" w:rsidRPr="00D26617" w:rsidRDefault="00D26617" w:rsidP="00D26617">
      <w:pPr>
        <w:tabs>
          <w:tab w:val="left" w:pos="709"/>
        </w:tabs>
        <w:spacing w:after="0" w:line="240" w:lineRule="auto"/>
        <w:ind w:left="709" w:right="60"/>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Les candidats doivent avoir acquis une solide expérience des politiques en matière de compétences et de qualifications. L’expérience de la coopération entre le marché du travail et l’éducation et la formation est un atout.</w:t>
      </w:r>
    </w:p>
    <w:p w:rsidR="00D26617" w:rsidRPr="00D26617" w:rsidRDefault="00D26617" w:rsidP="00D26617">
      <w:pPr>
        <w:tabs>
          <w:tab w:val="left" w:pos="709"/>
        </w:tabs>
        <w:spacing w:after="0" w:line="240" w:lineRule="auto"/>
        <w:ind w:left="709" w:right="60"/>
        <w:jc w:val="both"/>
        <w:rPr>
          <w:rFonts w:ascii="Times New Roman" w:eastAsia="Times New Roman" w:hAnsi="Times New Roman" w:cs="Times New Roman"/>
          <w:lang w:eastAsia="en-GB"/>
        </w:rPr>
      </w:pPr>
    </w:p>
    <w:p w:rsidR="00D26617" w:rsidRPr="00D26617" w:rsidRDefault="00D26617" w:rsidP="00D26617">
      <w:pPr>
        <w:tabs>
          <w:tab w:val="left" w:pos="709"/>
        </w:tabs>
        <w:spacing w:after="0" w:line="240" w:lineRule="auto"/>
        <w:ind w:left="709" w:right="60"/>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De plus, les candidats devraient disposer de :</w:t>
      </w:r>
    </w:p>
    <w:p w:rsidR="00D26617" w:rsidRPr="00D26617" w:rsidRDefault="00D26617" w:rsidP="00D26617">
      <w:pPr>
        <w:pStyle w:val="ListParagraph"/>
        <w:numPr>
          <w:ilvl w:val="0"/>
          <w:numId w:val="23"/>
        </w:numPr>
        <w:tabs>
          <w:tab w:val="left" w:pos="709"/>
        </w:tabs>
        <w:spacing w:after="0" w:line="240" w:lineRule="auto"/>
        <w:ind w:left="993" w:right="60" w:hanging="284"/>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Excellentes compétences en matière d’analyse des politiques</w:t>
      </w:r>
    </w:p>
    <w:p w:rsidR="00D26617" w:rsidRPr="00D26617" w:rsidRDefault="00D26617" w:rsidP="00D26617">
      <w:pPr>
        <w:pStyle w:val="ListParagraph"/>
        <w:numPr>
          <w:ilvl w:val="0"/>
          <w:numId w:val="23"/>
        </w:numPr>
        <w:tabs>
          <w:tab w:val="left" w:pos="709"/>
        </w:tabs>
        <w:spacing w:after="0" w:line="240" w:lineRule="auto"/>
        <w:ind w:left="993" w:right="60" w:hanging="284"/>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Excellentes capacités rédactionnelles</w:t>
      </w:r>
    </w:p>
    <w:p w:rsidR="00D26617" w:rsidRPr="00D26617" w:rsidRDefault="00D26617" w:rsidP="00D26617">
      <w:pPr>
        <w:pStyle w:val="ListParagraph"/>
        <w:numPr>
          <w:ilvl w:val="0"/>
          <w:numId w:val="23"/>
        </w:numPr>
        <w:tabs>
          <w:tab w:val="left" w:pos="709"/>
        </w:tabs>
        <w:spacing w:after="0" w:line="240" w:lineRule="auto"/>
        <w:ind w:left="993" w:right="60" w:hanging="284"/>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Excellentes capacités de communication, tant à l’oral qu’à l’écrit</w:t>
      </w:r>
    </w:p>
    <w:p w:rsidR="00D26617" w:rsidRPr="00D26617" w:rsidRDefault="00D26617" w:rsidP="00D26617">
      <w:pPr>
        <w:pStyle w:val="ListParagraph"/>
        <w:numPr>
          <w:ilvl w:val="0"/>
          <w:numId w:val="23"/>
        </w:numPr>
        <w:tabs>
          <w:tab w:val="left" w:pos="709"/>
        </w:tabs>
        <w:spacing w:after="0" w:line="240" w:lineRule="auto"/>
        <w:ind w:left="993" w:right="60" w:hanging="284"/>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lastRenderedPageBreak/>
        <w:t xml:space="preserve">Capacité à travailler de manière autonome et esprit d’initiative fort </w:t>
      </w:r>
    </w:p>
    <w:p w:rsidR="00AF2938" w:rsidRPr="00D26617" w:rsidRDefault="00D26617" w:rsidP="00D26617">
      <w:pPr>
        <w:pStyle w:val="ListParagraph"/>
        <w:numPr>
          <w:ilvl w:val="0"/>
          <w:numId w:val="23"/>
        </w:numPr>
        <w:tabs>
          <w:tab w:val="left" w:pos="709"/>
        </w:tabs>
        <w:spacing w:after="0" w:line="240" w:lineRule="auto"/>
        <w:ind w:left="993" w:right="60" w:hanging="284"/>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De solides compétences organisationnelles et la capacité de fournir des résultats de haute qualité, même dans des délais serrés et changeants</w:t>
      </w:r>
      <w:r w:rsidR="00A11F99" w:rsidRPr="00D26617">
        <w:rPr>
          <w:rFonts w:ascii="Times New Roman" w:eastAsia="Times New Roman" w:hAnsi="Times New Roman" w:cs="Times New Roman"/>
          <w:lang w:eastAsia="en-GB"/>
        </w:rPr>
        <w:t>.</w:t>
      </w:r>
    </w:p>
    <w:p w:rsidR="00626061" w:rsidRDefault="00626061"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w:t>
      </w:r>
      <w:r w:rsidR="00E7539B">
        <w:rPr>
          <w:rFonts w:ascii="Times New Roman" w:eastAsia="Times New Roman" w:hAnsi="Times New Roman" w:cs="Times New Roman"/>
          <w:u w:val="single"/>
          <w:lang w:eastAsia="en-GB"/>
        </w:rPr>
        <w:t>’</w:t>
      </w:r>
      <w:r w:rsidRPr="00745B97">
        <w:rPr>
          <w:rFonts w:ascii="Times New Roman" w:eastAsia="Times New Roman" w:hAnsi="Times New Roman" w:cs="Times New Roman"/>
          <w:u w:val="single"/>
          <w:lang w:eastAsia="en-GB"/>
        </w:rPr>
        <w:t>accomplissement des tâches</w:t>
      </w:r>
    </w:p>
    <w:p w:rsidR="00745B97" w:rsidRPr="00745B97" w:rsidRDefault="00745B97" w:rsidP="00626061">
      <w:pPr>
        <w:tabs>
          <w:tab w:val="left" w:pos="709"/>
        </w:tabs>
        <w:spacing w:after="0" w:line="240" w:lineRule="auto"/>
        <w:ind w:left="709" w:right="60"/>
        <w:jc w:val="both"/>
        <w:rPr>
          <w:rFonts w:ascii="Times New Roman" w:eastAsia="Times New Roman" w:hAnsi="Times New Roman" w:cs="Times New Roman"/>
          <w:u w:val="single"/>
          <w:lang w:eastAsia="en-GB"/>
        </w:rPr>
      </w:pPr>
    </w:p>
    <w:p w:rsidR="00F46399" w:rsidRDefault="00D26617" w:rsidP="00626061">
      <w:pPr>
        <w:tabs>
          <w:tab w:val="left" w:pos="709"/>
        </w:tabs>
        <w:spacing w:after="0" w:line="240" w:lineRule="auto"/>
        <w:ind w:left="709" w:right="60"/>
        <w:jc w:val="both"/>
        <w:rPr>
          <w:rFonts w:ascii="Times New Roman" w:eastAsia="Times New Roman" w:hAnsi="Times New Roman" w:cs="Times New Roman"/>
          <w:lang w:eastAsia="en-GB"/>
        </w:rPr>
      </w:pPr>
      <w:r w:rsidRPr="00D26617">
        <w:rPr>
          <w:rFonts w:ascii="Times New Roman" w:eastAsia="Times New Roman" w:hAnsi="Times New Roman" w:cs="Times New Roman"/>
          <w:lang w:eastAsia="en-GB"/>
        </w:rPr>
        <w:t>La langue de travail de l’unité est principalement l’anglais (en particulier pour la rédaction). Par conséquent, une bonne connaissance de l'anglais (au moins B2) est requise, ainsi que la connaissance d’une des autres langues de l’Union européenne. La maîtrise du français serait un atout.</w:t>
      </w:r>
    </w:p>
    <w:p w:rsidR="00D26617" w:rsidRPr="00745B97" w:rsidRDefault="00D26617" w:rsidP="00626061">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10" w:history="1">
        <w:r w:rsidR="00E7539B" w:rsidRPr="007368EB">
          <w:rPr>
            <w:rStyle w:val="Hyperlink"/>
            <w:rFonts w:ascii="Times New Roman" w:eastAsia="Times New Roman" w:hAnsi="Times New Roman" w:cs="Times New Roman"/>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 xml:space="preserve">(tels que copie de carte d'identité, copie des diplômes et attestations d'expérience </w:t>
      </w:r>
      <w:proofErr w:type="gramStart"/>
      <w:r w:rsidRPr="00745B97">
        <w:rPr>
          <w:rFonts w:ascii="Times New Roman" w:eastAsia="Times New Roman" w:hAnsi="Times New Roman" w:cs="Times New Roman"/>
          <w:lang w:eastAsia="en-GB"/>
        </w:rPr>
        <w:t>professionnelle,…</w:t>
      </w:r>
      <w:proofErr w:type="gramEnd"/>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804B2F" w:rsidRDefault="00804B2F"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1"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2"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5A2A39"/>
    <w:sectPr w:rsidR="00AC55BD" w:rsidSect="004E1C73">
      <w:footerReference w:type="default" r:id="rId14"/>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6AEF"/>
    <w:multiLevelType w:val="hybridMultilevel"/>
    <w:tmpl w:val="3D50B3F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B5148EE"/>
    <w:multiLevelType w:val="hybridMultilevel"/>
    <w:tmpl w:val="520269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C427903"/>
    <w:multiLevelType w:val="hybridMultilevel"/>
    <w:tmpl w:val="CF64E264"/>
    <w:lvl w:ilvl="0" w:tplc="6B4A70A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CE132D0"/>
    <w:multiLevelType w:val="hybridMultilevel"/>
    <w:tmpl w:val="B87A8DF2"/>
    <w:lvl w:ilvl="0" w:tplc="89D2CE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0F0561D0"/>
    <w:multiLevelType w:val="hybridMultilevel"/>
    <w:tmpl w:val="44E46E9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C9C41A1"/>
    <w:multiLevelType w:val="hybridMultilevel"/>
    <w:tmpl w:val="566E515E"/>
    <w:lvl w:ilvl="0" w:tplc="FBA451EC">
      <w:start w:val="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D956117"/>
    <w:multiLevelType w:val="hybridMultilevel"/>
    <w:tmpl w:val="F8B84612"/>
    <w:lvl w:ilvl="0" w:tplc="0409000F">
      <w:start w:val="1"/>
      <w:numFmt w:val="decimal"/>
      <w:lvlText w:val="%1."/>
      <w:lvlJc w:val="left"/>
      <w:pPr>
        <w:ind w:left="1146" w:hanging="360"/>
      </w:pPr>
      <w:rPr>
        <w:rFont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F5A44F3"/>
    <w:multiLevelType w:val="hybridMultilevel"/>
    <w:tmpl w:val="B8DC60B2"/>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8" w15:restartNumberingAfterBreak="0">
    <w:nsid w:val="30AE4EAD"/>
    <w:multiLevelType w:val="hybridMultilevel"/>
    <w:tmpl w:val="CD56F916"/>
    <w:lvl w:ilvl="0" w:tplc="21785350">
      <w:start w:val="1"/>
      <w:numFmt w:val="bullet"/>
      <w:lvlText w:val="-"/>
      <w:lvlJc w:val="left"/>
      <w:pPr>
        <w:ind w:left="1146" w:hanging="360"/>
      </w:pPr>
      <w:rPr>
        <w:rFonts w:ascii="Times New Roman" w:hAnsi="Times New Roman" w:cs="Times New Roman" w:hint="default"/>
      </w:rPr>
    </w:lvl>
    <w:lvl w:ilvl="1" w:tplc="7EFC0BB6">
      <w:start w:val="2"/>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30CF2EAD"/>
    <w:multiLevelType w:val="hybridMultilevel"/>
    <w:tmpl w:val="BB0AFDEC"/>
    <w:lvl w:ilvl="0" w:tplc="FBA451EC">
      <w:start w:val="2"/>
      <w:numFmt w:val="bullet"/>
      <w:lvlText w:val="•"/>
      <w:lvlJc w:val="left"/>
      <w:pPr>
        <w:ind w:left="1495"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386B126E"/>
    <w:multiLevelType w:val="hybridMultilevel"/>
    <w:tmpl w:val="8932A58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88D4000"/>
    <w:multiLevelType w:val="hybridMultilevel"/>
    <w:tmpl w:val="C01EB23E"/>
    <w:lvl w:ilvl="0" w:tplc="6DBAFDB6">
      <w:start w:val="3"/>
      <w:numFmt w:val="decimal"/>
      <w:lvlText w:val="%1."/>
      <w:lvlJc w:val="left"/>
      <w:pPr>
        <w:ind w:left="780" w:hanging="4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C280F95"/>
    <w:multiLevelType w:val="hybridMultilevel"/>
    <w:tmpl w:val="0B68D38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AEA46F5"/>
    <w:multiLevelType w:val="hybridMultilevel"/>
    <w:tmpl w:val="B86C9D18"/>
    <w:lvl w:ilvl="0" w:tplc="A3CC5D10">
      <w:start w:val="1"/>
      <w:numFmt w:val="bullet"/>
      <w:lvlText w:val="-"/>
      <w:lvlJc w:val="left"/>
      <w:pPr>
        <w:ind w:left="1146" w:hanging="360"/>
      </w:pPr>
      <w:rPr>
        <w:rFonts w:ascii="Times New Roman" w:hAnsi="Times New Roman"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0674221"/>
    <w:multiLevelType w:val="hybridMultilevel"/>
    <w:tmpl w:val="514642BA"/>
    <w:lvl w:ilvl="0" w:tplc="08090003">
      <w:start w:val="1"/>
      <w:numFmt w:val="bullet"/>
      <w:lvlText w:val="o"/>
      <w:lvlJc w:val="left"/>
      <w:pPr>
        <w:ind w:left="2508" w:hanging="360"/>
      </w:pPr>
      <w:rPr>
        <w:rFonts w:ascii="Courier New" w:hAnsi="Courier New" w:cs="Courier New" w:hint="default"/>
      </w:rPr>
    </w:lvl>
    <w:lvl w:ilvl="1" w:tplc="08090003" w:tentative="1">
      <w:start w:val="1"/>
      <w:numFmt w:val="bullet"/>
      <w:lvlText w:val="o"/>
      <w:lvlJc w:val="left"/>
      <w:pPr>
        <w:ind w:left="3228" w:hanging="360"/>
      </w:pPr>
      <w:rPr>
        <w:rFonts w:ascii="Courier New" w:hAnsi="Courier New" w:cs="Courier New" w:hint="default"/>
      </w:rPr>
    </w:lvl>
    <w:lvl w:ilvl="2" w:tplc="08090005" w:tentative="1">
      <w:start w:val="1"/>
      <w:numFmt w:val="bullet"/>
      <w:lvlText w:val=""/>
      <w:lvlJc w:val="left"/>
      <w:pPr>
        <w:ind w:left="3948" w:hanging="360"/>
      </w:pPr>
      <w:rPr>
        <w:rFonts w:ascii="Wingdings" w:hAnsi="Wingdings" w:hint="default"/>
      </w:rPr>
    </w:lvl>
    <w:lvl w:ilvl="3" w:tplc="08090001" w:tentative="1">
      <w:start w:val="1"/>
      <w:numFmt w:val="bullet"/>
      <w:lvlText w:val=""/>
      <w:lvlJc w:val="left"/>
      <w:pPr>
        <w:ind w:left="4668" w:hanging="360"/>
      </w:pPr>
      <w:rPr>
        <w:rFonts w:ascii="Symbol" w:hAnsi="Symbol" w:hint="default"/>
      </w:rPr>
    </w:lvl>
    <w:lvl w:ilvl="4" w:tplc="08090003" w:tentative="1">
      <w:start w:val="1"/>
      <w:numFmt w:val="bullet"/>
      <w:lvlText w:val="o"/>
      <w:lvlJc w:val="left"/>
      <w:pPr>
        <w:ind w:left="5388" w:hanging="360"/>
      </w:pPr>
      <w:rPr>
        <w:rFonts w:ascii="Courier New" w:hAnsi="Courier New" w:cs="Courier New" w:hint="default"/>
      </w:rPr>
    </w:lvl>
    <w:lvl w:ilvl="5" w:tplc="08090005" w:tentative="1">
      <w:start w:val="1"/>
      <w:numFmt w:val="bullet"/>
      <w:lvlText w:val=""/>
      <w:lvlJc w:val="left"/>
      <w:pPr>
        <w:ind w:left="6108" w:hanging="360"/>
      </w:pPr>
      <w:rPr>
        <w:rFonts w:ascii="Wingdings" w:hAnsi="Wingdings" w:hint="default"/>
      </w:rPr>
    </w:lvl>
    <w:lvl w:ilvl="6" w:tplc="08090001" w:tentative="1">
      <w:start w:val="1"/>
      <w:numFmt w:val="bullet"/>
      <w:lvlText w:val=""/>
      <w:lvlJc w:val="left"/>
      <w:pPr>
        <w:ind w:left="6828" w:hanging="360"/>
      </w:pPr>
      <w:rPr>
        <w:rFonts w:ascii="Symbol" w:hAnsi="Symbol" w:hint="default"/>
      </w:rPr>
    </w:lvl>
    <w:lvl w:ilvl="7" w:tplc="08090003" w:tentative="1">
      <w:start w:val="1"/>
      <w:numFmt w:val="bullet"/>
      <w:lvlText w:val="o"/>
      <w:lvlJc w:val="left"/>
      <w:pPr>
        <w:ind w:left="7548" w:hanging="360"/>
      </w:pPr>
      <w:rPr>
        <w:rFonts w:ascii="Courier New" w:hAnsi="Courier New" w:cs="Courier New" w:hint="default"/>
      </w:rPr>
    </w:lvl>
    <w:lvl w:ilvl="8" w:tplc="08090005" w:tentative="1">
      <w:start w:val="1"/>
      <w:numFmt w:val="bullet"/>
      <w:lvlText w:val=""/>
      <w:lvlJc w:val="left"/>
      <w:pPr>
        <w:ind w:left="8268" w:hanging="360"/>
      </w:pPr>
      <w:rPr>
        <w:rFonts w:ascii="Wingdings" w:hAnsi="Wingdings" w:hint="default"/>
      </w:rPr>
    </w:lvl>
  </w:abstractNum>
  <w:abstractNum w:abstractNumId="17" w15:restartNumberingAfterBreak="0">
    <w:nsid w:val="5BCC5A08"/>
    <w:multiLevelType w:val="hybridMultilevel"/>
    <w:tmpl w:val="AC7EE71A"/>
    <w:lvl w:ilvl="0" w:tplc="EFBA33D4">
      <w:start w:val="3"/>
      <w:numFmt w:val="decimal"/>
      <w:lvlText w:val="%1)"/>
      <w:lvlJc w:val="left"/>
      <w:pPr>
        <w:ind w:left="786" w:hanging="360"/>
      </w:pPr>
      <w:rPr>
        <w:rFonts w:hint="default"/>
        <w:sz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5D5A2094"/>
    <w:multiLevelType w:val="hybridMultilevel"/>
    <w:tmpl w:val="B3C2872C"/>
    <w:lvl w:ilvl="0" w:tplc="AE3CAC3A">
      <w:start w:val="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68A663F9"/>
    <w:multiLevelType w:val="hybridMultilevel"/>
    <w:tmpl w:val="0EB0D3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69CD23B3"/>
    <w:multiLevelType w:val="hybridMultilevel"/>
    <w:tmpl w:val="89E8F91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6AAE5680"/>
    <w:multiLevelType w:val="hybridMultilevel"/>
    <w:tmpl w:val="5B7AC744"/>
    <w:lvl w:ilvl="0" w:tplc="474A3D5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CDC7B3C"/>
    <w:multiLevelType w:val="hybridMultilevel"/>
    <w:tmpl w:val="0E0AE04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13"/>
  </w:num>
  <w:num w:numId="2">
    <w:abstractNumId w:val="10"/>
  </w:num>
  <w:num w:numId="3">
    <w:abstractNumId w:val="15"/>
  </w:num>
  <w:num w:numId="4">
    <w:abstractNumId w:val="3"/>
  </w:num>
  <w:num w:numId="5">
    <w:abstractNumId w:val="12"/>
  </w:num>
  <w:num w:numId="6">
    <w:abstractNumId w:val="17"/>
  </w:num>
  <w:num w:numId="7">
    <w:abstractNumId w:val="0"/>
  </w:num>
  <w:num w:numId="8">
    <w:abstractNumId w:val="19"/>
  </w:num>
  <w:num w:numId="9">
    <w:abstractNumId w:val="18"/>
  </w:num>
  <w:num w:numId="10">
    <w:abstractNumId w:val="16"/>
  </w:num>
  <w:num w:numId="11">
    <w:abstractNumId w:val="22"/>
  </w:num>
  <w:num w:numId="12">
    <w:abstractNumId w:val="1"/>
  </w:num>
  <w:num w:numId="13">
    <w:abstractNumId w:val="21"/>
  </w:num>
  <w:num w:numId="14">
    <w:abstractNumId w:val="11"/>
  </w:num>
  <w:num w:numId="15">
    <w:abstractNumId w:val="4"/>
  </w:num>
  <w:num w:numId="16">
    <w:abstractNumId w:val="14"/>
  </w:num>
  <w:num w:numId="17">
    <w:abstractNumId w:val="2"/>
  </w:num>
  <w:num w:numId="18">
    <w:abstractNumId w:val="20"/>
  </w:num>
  <w:num w:numId="19">
    <w:abstractNumId w:val="6"/>
  </w:num>
  <w:num w:numId="20">
    <w:abstractNumId w:val="8"/>
  </w:num>
  <w:num w:numId="21">
    <w:abstractNumId w:val="5"/>
  </w:num>
  <w:num w:numId="22">
    <w:abstractNumId w:val="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146F1A"/>
    <w:rsid w:val="0019598C"/>
    <w:rsid w:val="002A3536"/>
    <w:rsid w:val="003445AE"/>
    <w:rsid w:val="00364546"/>
    <w:rsid w:val="00381739"/>
    <w:rsid w:val="00455D44"/>
    <w:rsid w:val="00534042"/>
    <w:rsid w:val="005A2A39"/>
    <w:rsid w:val="00626061"/>
    <w:rsid w:val="006E408C"/>
    <w:rsid w:val="00745B97"/>
    <w:rsid w:val="00801C95"/>
    <w:rsid w:val="00804B2F"/>
    <w:rsid w:val="009C158C"/>
    <w:rsid w:val="00A11F99"/>
    <w:rsid w:val="00AF2938"/>
    <w:rsid w:val="00B36D07"/>
    <w:rsid w:val="00BC14A5"/>
    <w:rsid w:val="00CF677F"/>
    <w:rsid w:val="00D26617"/>
    <w:rsid w:val="00E7539B"/>
    <w:rsid w:val="00EA0190"/>
    <w:rsid w:val="00EF4706"/>
    <w:rsid w:val="00F46399"/>
    <w:rsid w:val="00F7660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CB27A"/>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ison.crabb@ec.europa.eu" TargetMode="External"/><Relationship Id="rId13" Type="http://schemas.openxmlformats.org/officeDocument/2006/relationships/hyperlink" Target="mailto:edps@edps.europa.e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ATA-PROTECTION-OFFICER@ec.europa.e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R-MAIL-B4@ec.europa.e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uropass.cedefop.europa.eu/fr/documents/curriculum-vitae" TargetMode="External"/><Relationship Id="rId4" Type="http://schemas.openxmlformats.org/officeDocument/2006/relationships/webSettings" Target="webSettings.xml"/><Relationship Id="rId9" Type="http://schemas.openxmlformats.org/officeDocument/2006/relationships/hyperlink" Target="https://ec.europa.eu/social/main.jsp?catId=1223&amp;langId=f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1683</Words>
  <Characters>9695</Characters>
  <Application>Microsoft Office Word</Application>
  <DocSecurity>0</DocSecurity>
  <Lines>197</Lines>
  <Paragraphs>93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2021-12-09T15:21:00Z</dcterms:created>
  <dcterms:modified xsi:type="dcterms:W3CDTF">2021-12-09T15:21:00Z</dcterms:modified>
</cp:coreProperties>
</file>