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F436D9" w:rsidP="00DE434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DEFIS-C-2_</w:t>
            </w:r>
            <w:r w:rsidR="00DE4341">
              <w:rPr>
                <w:rFonts w:ascii="Times New Roman" w:eastAsia="Times New Roman" w:hAnsi="Times New Roman" w:cs="Times New Roman"/>
                <w:b/>
                <w:sz w:val="24"/>
                <w:szCs w:val="20"/>
                <w:lang w:val="de-DE" w:eastAsia="en-GB"/>
              </w:rPr>
              <w:t>B</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F436D9" w:rsidRPr="00F436D9" w:rsidRDefault="00F436D9" w:rsidP="00F436D9">
            <w:pPr>
              <w:rPr>
                <w:rFonts w:ascii="Times New Roman" w:hAnsi="Times New Roman" w:cs="Times New Roman"/>
                <w:b/>
              </w:rPr>
            </w:pPr>
            <w:r w:rsidRPr="00F436D9">
              <w:rPr>
                <w:rFonts w:ascii="Times New Roman" w:hAnsi="Times New Roman" w:cs="Times New Roman"/>
                <w:b/>
              </w:rPr>
              <w:t xml:space="preserve">Paul </w:t>
            </w:r>
            <w:proofErr w:type="spellStart"/>
            <w:r w:rsidRPr="00F436D9">
              <w:rPr>
                <w:rFonts w:ascii="Times New Roman" w:hAnsi="Times New Roman" w:cs="Times New Roman"/>
                <w:b/>
              </w:rPr>
              <w:t>Flament</w:t>
            </w:r>
            <w:proofErr w:type="spellEnd"/>
          </w:p>
          <w:p w:rsidR="00F436D9" w:rsidRPr="00F436D9" w:rsidRDefault="00460A22" w:rsidP="00F436D9">
            <w:pPr>
              <w:rPr>
                <w:rFonts w:ascii="Times New Roman" w:hAnsi="Times New Roman" w:cs="Times New Roman"/>
                <w:b/>
              </w:rPr>
            </w:pPr>
            <w:hyperlink r:id="rId8" w:history="1">
              <w:r w:rsidR="00F436D9" w:rsidRPr="0079695E">
                <w:rPr>
                  <w:rStyle w:val="Hyperlink"/>
                  <w:rFonts w:ascii="Times New Roman" w:hAnsi="Times New Roman" w:cs="Times New Roman"/>
                  <w:b/>
                </w:rPr>
                <w:t>Paul.flament@ec.europa.eu</w:t>
              </w:r>
            </w:hyperlink>
            <w:r w:rsidR="00F436D9">
              <w:rPr>
                <w:rFonts w:ascii="Times New Roman" w:hAnsi="Times New Roman" w:cs="Times New Roman"/>
                <w:b/>
              </w:rPr>
              <w:t xml:space="preserve"> </w:t>
            </w:r>
          </w:p>
          <w:p w:rsidR="006A2619" w:rsidRPr="00DE4341" w:rsidRDefault="00F436D9" w:rsidP="00F436D9">
            <w:pPr>
              <w:rPr>
                <w:rFonts w:ascii="Times New Roman" w:hAnsi="Times New Roman" w:cs="Times New Roman"/>
                <w:b/>
              </w:rPr>
            </w:pPr>
            <w:r w:rsidRPr="00DE4341">
              <w:rPr>
                <w:rFonts w:ascii="Times New Roman" w:hAnsi="Times New Roman" w:cs="Times New Roman"/>
                <w:b/>
              </w:rPr>
              <w:t>+3222956342</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bookmarkStart w:id="0" w:name="_GoBack"/>
            <w:bookmarkEnd w:id="0"/>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L’unité C2 est responsable de la gestion des programmes GNSS (Galileo et EGNOS) et est l’interface entre les parties prenantes des programmes GNSS qui traitent de la mise en œuvre, de l’exploitation et de la sécurité de Galileo et d’EGNOS. L’unité C2 traite avec l’Agence spatiale européenne (ESA) et l’Agence de l'union européenne pour le programme spatial (EUSPA), les administrations nationales et leurs agences spatiales, les services de la Commission et les agences de l’UE.</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 xml:space="preserve">L’unité C2 est une équipe de spécialistes du domaine technique, de l’ingénierie de la sécurité et politiques qui travaillent en étroite collaboration avec leurs homologues de l’ESA et EUSPA sur des questions liées au suivi de la gestion technique, aux services, à l’exploitation et à la sécurité des programmes. </w:t>
      </w:r>
    </w:p>
    <w:p w:rsidR="006E2B8E" w:rsidRPr="00F436D9" w:rsidRDefault="006E2B8E"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Nous proposons un poste au sein de l’équipe de sécurité avec les exigences suivantes:</w:t>
      </w:r>
    </w:p>
    <w:p w:rsidR="00F436D9" w:rsidRPr="00F436D9" w:rsidRDefault="00F436D9" w:rsidP="00F436D9">
      <w:pPr>
        <w:pStyle w:val="ListParagraph"/>
        <w:spacing w:line="240" w:lineRule="auto"/>
        <w:ind w:left="425"/>
        <w:jc w:val="both"/>
        <w:rPr>
          <w:rFonts w:ascii="Times New Roman" w:hAnsi="Times New Roman" w:cs="Times New Roman"/>
        </w:rPr>
      </w:pPr>
    </w:p>
    <w:p w:rsidR="00C07FE9" w:rsidRPr="00C07FE9" w:rsidRDefault="00C07FE9" w:rsidP="00C07FE9">
      <w:pPr>
        <w:pStyle w:val="ListParagraph"/>
        <w:numPr>
          <w:ilvl w:val="0"/>
          <w:numId w:val="3"/>
        </w:numPr>
        <w:spacing w:after="0" w:line="240" w:lineRule="auto"/>
        <w:rPr>
          <w:rFonts w:ascii="Times New Roman" w:hAnsi="Times New Roman" w:cs="Times New Roman"/>
        </w:rPr>
      </w:pPr>
      <w:proofErr w:type="spellStart"/>
      <w:r w:rsidRPr="00C07FE9">
        <w:rPr>
          <w:rFonts w:ascii="Times New Roman" w:hAnsi="Times New Roman" w:cs="Times New Roman"/>
        </w:rPr>
        <w:t>Etablir</w:t>
      </w:r>
      <w:proofErr w:type="spellEnd"/>
      <w:r w:rsidRPr="00C07FE9">
        <w:rPr>
          <w:rFonts w:ascii="Times New Roman" w:hAnsi="Times New Roman" w:cs="Times New Roman"/>
        </w:rPr>
        <w:t xml:space="preserve"> et maintenir le référentiel en matière de sûreté du programme:</w:t>
      </w:r>
    </w:p>
    <w:p w:rsidR="00C07FE9" w:rsidRPr="00C07FE9" w:rsidRDefault="00C07FE9" w:rsidP="00C07FE9">
      <w:pPr>
        <w:pStyle w:val="ListParagraph"/>
        <w:numPr>
          <w:ilvl w:val="0"/>
          <w:numId w:val="2"/>
        </w:numPr>
        <w:spacing w:after="0" w:line="240" w:lineRule="auto"/>
        <w:ind w:left="1134" w:hanging="283"/>
        <w:rPr>
          <w:rFonts w:ascii="Times New Roman" w:hAnsi="Times New Roman" w:cs="Times New Roman"/>
        </w:rPr>
      </w:pPr>
      <w:r>
        <w:rPr>
          <w:rFonts w:ascii="Times New Roman" w:hAnsi="Times New Roman" w:cs="Times New Roman"/>
        </w:rPr>
        <w:t>C</w:t>
      </w:r>
      <w:r w:rsidRPr="00C07FE9">
        <w:rPr>
          <w:rFonts w:ascii="Times New Roman" w:hAnsi="Times New Roman" w:cs="Times New Roman"/>
        </w:rPr>
        <w:t>onsolidation des propositions d’exigences avec les parties prenantes du programme (EUSPA, ESA) sur la base d’analyses de risques</w:t>
      </w:r>
    </w:p>
    <w:p w:rsidR="00C07FE9" w:rsidRPr="00C07FE9" w:rsidRDefault="00C07FE9" w:rsidP="00C07FE9">
      <w:pPr>
        <w:pStyle w:val="ListParagraph"/>
        <w:numPr>
          <w:ilvl w:val="0"/>
          <w:numId w:val="2"/>
        </w:numPr>
        <w:spacing w:after="0" w:line="240" w:lineRule="auto"/>
        <w:ind w:left="1134" w:hanging="283"/>
        <w:rPr>
          <w:rFonts w:ascii="Times New Roman" w:hAnsi="Times New Roman" w:cs="Times New Roman"/>
        </w:rPr>
      </w:pPr>
      <w:r>
        <w:rPr>
          <w:rFonts w:ascii="Times New Roman" w:hAnsi="Times New Roman" w:cs="Times New Roman"/>
        </w:rPr>
        <w:t>C</w:t>
      </w:r>
      <w:r w:rsidRPr="00C07FE9">
        <w:rPr>
          <w:rFonts w:ascii="Times New Roman" w:hAnsi="Times New Roman" w:cs="Times New Roman"/>
        </w:rPr>
        <w:t>oordination avec les États membres par l’intermédiaire des groupes d’experts concernés</w:t>
      </w:r>
    </w:p>
    <w:p w:rsidR="00C07FE9" w:rsidRPr="00C07FE9" w:rsidRDefault="00C07FE9" w:rsidP="00C07FE9">
      <w:pPr>
        <w:pStyle w:val="ListParagraph"/>
        <w:numPr>
          <w:ilvl w:val="0"/>
          <w:numId w:val="2"/>
        </w:numPr>
        <w:spacing w:after="0" w:line="240" w:lineRule="auto"/>
        <w:ind w:left="1134" w:hanging="283"/>
        <w:rPr>
          <w:rFonts w:ascii="Times New Roman" w:hAnsi="Times New Roman" w:cs="Times New Roman"/>
        </w:rPr>
      </w:pPr>
      <w:r>
        <w:rPr>
          <w:rFonts w:ascii="Times New Roman" w:hAnsi="Times New Roman" w:cs="Times New Roman"/>
        </w:rPr>
        <w:t>R</w:t>
      </w:r>
      <w:r w:rsidRPr="00C07FE9">
        <w:rPr>
          <w:rFonts w:ascii="Times New Roman" w:hAnsi="Times New Roman" w:cs="Times New Roman"/>
        </w:rPr>
        <w:t>éférentiel relatif aux exigences cryptographiques: Coordination avec les États membres concernés pour la définition des exigences relatives aux mécanismes cryptographiques</w:t>
      </w:r>
    </w:p>
    <w:p w:rsidR="00C07FE9" w:rsidRDefault="00C07FE9" w:rsidP="00C07FE9">
      <w:pPr>
        <w:spacing w:after="0" w:line="240" w:lineRule="auto"/>
        <w:ind w:left="426"/>
        <w:rPr>
          <w:rFonts w:ascii="Times New Roman" w:hAnsi="Times New Roman" w:cs="Times New Roman"/>
        </w:rPr>
      </w:pPr>
    </w:p>
    <w:p w:rsidR="00C07FE9" w:rsidRPr="00C07FE9" w:rsidRDefault="00C07FE9" w:rsidP="00C07FE9">
      <w:pPr>
        <w:spacing w:after="0" w:line="240" w:lineRule="auto"/>
        <w:ind w:left="709" w:hanging="283"/>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Pr="00C07FE9">
        <w:rPr>
          <w:rFonts w:ascii="Times New Roman" w:hAnsi="Times New Roman" w:cs="Times New Roman"/>
        </w:rPr>
        <w:t>Veiller à l’application de la décision 1104 au sein de la Commission et autres parties prenantes au programme (EUSPA, ESA).</w:t>
      </w:r>
    </w:p>
    <w:p w:rsidR="00C07FE9" w:rsidRPr="00C07FE9" w:rsidRDefault="00C07FE9" w:rsidP="00C07FE9">
      <w:pPr>
        <w:pStyle w:val="ListParagraph"/>
        <w:numPr>
          <w:ilvl w:val="0"/>
          <w:numId w:val="4"/>
        </w:numPr>
        <w:spacing w:after="0" w:line="240" w:lineRule="auto"/>
        <w:ind w:left="1134" w:hanging="283"/>
        <w:rPr>
          <w:rFonts w:ascii="Times New Roman" w:hAnsi="Times New Roman" w:cs="Times New Roman"/>
        </w:rPr>
      </w:pPr>
      <w:r w:rsidRPr="00C07FE9">
        <w:rPr>
          <w:rFonts w:ascii="Times New Roman" w:hAnsi="Times New Roman" w:cs="Times New Roman"/>
        </w:rPr>
        <w:t xml:space="preserve">Mise en œuvre dans le cadre de la FFPA (Financial Framework </w:t>
      </w:r>
      <w:proofErr w:type="spellStart"/>
      <w:r w:rsidRPr="00C07FE9">
        <w:rPr>
          <w:rFonts w:ascii="Times New Roman" w:hAnsi="Times New Roman" w:cs="Times New Roman"/>
        </w:rPr>
        <w:t>Partnership</w:t>
      </w:r>
      <w:proofErr w:type="spellEnd"/>
      <w:r w:rsidRPr="00C07FE9">
        <w:rPr>
          <w:rFonts w:ascii="Times New Roman" w:hAnsi="Times New Roman" w:cs="Times New Roman"/>
        </w:rPr>
        <w:t xml:space="preserve"> Agreement)</w:t>
      </w:r>
    </w:p>
    <w:p w:rsidR="00C07FE9" w:rsidRPr="00C07FE9" w:rsidRDefault="00C07FE9" w:rsidP="00C07FE9">
      <w:pPr>
        <w:pStyle w:val="ListParagraph"/>
        <w:numPr>
          <w:ilvl w:val="0"/>
          <w:numId w:val="4"/>
        </w:numPr>
        <w:spacing w:after="0" w:line="240" w:lineRule="auto"/>
        <w:ind w:left="1134" w:hanging="283"/>
        <w:rPr>
          <w:rFonts w:ascii="Times New Roman" w:hAnsi="Times New Roman" w:cs="Times New Roman"/>
        </w:rPr>
      </w:pPr>
      <w:r w:rsidRPr="00C07FE9">
        <w:rPr>
          <w:rFonts w:ascii="Times New Roman" w:hAnsi="Times New Roman" w:cs="Times New Roman"/>
        </w:rPr>
        <w:lastRenderedPageBreak/>
        <w:t xml:space="preserve">Maintenance de la base de données de la Commission des entités autorisées par le SAB (conseil d’homologation de sécurité) </w:t>
      </w:r>
    </w:p>
    <w:p w:rsidR="00C07FE9" w:rsidRPr="00C07FE9" w:rsidRDefault="00C07FE9" w:rsidP="00C07FE9">
      <w:pPr>
        <w:pStyle w:val="ListParagraph"/>
        <w:numPr>
          <w:ilvl w:val="0"/>
          <w:numId w:val="4"/>
        </w:numPr>
        <w:spacing w:after="0" w:line="240" w:lineRule="auto"/>
        <w:ind w:left="1134" w:hanging="283"/>
        <w:rPr>
          <w:rFonts w:ascii="Times New Roman" w:hAnsi="Times New Roman" w:cs="Times New Roman"/>
        </w:rPr>
      </w:pPr>
      <w:r w:rsidRPr="00C07FE9">
        <w:rPr>
          <w:rFonts w:ascii="Times New Roman" w:hAnsi="Times New Roman" w:cs="Times New Roman"/>
        </w:rPr>
        <w:t>Mener des audits au sein de l’APR (Autorité PRS Responsable) des États membres</w:t>
      </w:r>
    </w:p>
    <w:p w:rsidR="00C07FE9" w:rsidRPr="00C07FE9" w:rsidRDefault="00C07FE9" w:rsidP="00C07FE9">
      <w:pPr>
        <w:pStyle w:val="ListParagraph"/>
        <w:numPr>
          <w:ilvl w:val="0"/>
          <w:numId w:val="4"/>
        </w:numPr>
        <w:spacing w:after="0" w:line="240" w:lineRule="auto"/>
        <w:ind w:left="1134" w:hanging="283"/>
        <w:rPr>
          <w:rFonts w:ascii="Times New Roman" w:hAnsi="Times New Roman" w:cs="Times New Roman"/>
        </w:rPr>
      </w:pPr>
      <w:r w:rsidRPr="00C07FE9">
        <w:rPr>
          <w:rFonts w:ascii="Times New Roman" w:hAnsi="Times New Roman" w:cs="Times New Roman"/>
        </w:rPr>
        <w:t>Rédaction des rapports prévus dans le cadre juridique</w:t>
      </w:r>
    </w:p>
    <w:p w:rsidR="00C07FE9" w:rsidRDefault="00C07FE9" w:rsidP="00C07FE9">
      <w:pPr>
        <w:spacing w:after="0" w:line="240" w:lineRule="auto"/>
        <w:ind w:left="426"/>
        <w:rPr>
          <w:rFonts w:ascii="Times New Roman" w:hAnsi="Times New Roman" w:cs="Times New Roman"/>
        </w:rPr>
      </w:pPr>
    </w:p>
    <w:p w:rsidR="00C07FE9" w:rsidRPr="00C07FE9" w:rsidRDefault="00C07FE9" w:rsidP="00C07FE9">
      <w:pPr>
        <w:pStyle w:val="ListParagraph"/>
        <w:numPr>
          <w:ilvl w:val="0"/>
          <w:numId w:val="6"/>
        </w:numPr>
        <w:spacing w:after="0" w:line="240" w:lineRule="auto"/>
        <w:rPr>
          <w:rFonts w:ascii="Times New Roman" w:hAnsi="Times New Roman" w:cs="Times New Roman"/>
        </w:rPr>
      </w:pPr>
      <w:r w:rsidRPr="00C07FE9">
        <w:rPr>
          <w:rFonts w:ascii="Times New Roman" w:hAnsi="Times New Roman" w:cs="Times New Roman"/>
        </w:rPr>
        <w:t>Établir le plan de mise en œuvre du PRS.</w:t>
      </w:r>
    </w:p>
    <w:p w:rsidR="00C07FE9" w:rsidRPr="00C07FE9" w:rsidRDefault="00C07FE9" w:rsidP="00C07FE9">
      <w:pPr>
        <w:pStyle w:val="ListParagraph"/>
        <w:numPr>
          <w:ilvl w:val="0"/>
          <w:numId w:val="5"/>
        </w:numPr>
        <w:spacing w:after="0" w:line="240" w:lineRule="auto"/>
        <w:rPr>
          <w:rFonts w:ascii="Times New Roman" w:hAnsi="Times New Roman" w:cs="Times New Roman"/>
        </w:rPr>
      </w:pPr>
      <w:proofErr w:type="spellStart"/>
      <w:r>
        <w:rPr>
          <w:rFonts w:ascii="Times New Roman" w:hAnsi="Times New Roman" w:cs="Times New Roman"/>
        </w:rPr>
        <w:t>E</w:t>
      </w:r>
      <w:r w:rsidRPr="00C07FE9">
        <w:rPr>
          <w:rFonts w:ascii="Times New Roman" w:hAnsi="Times New Roman" w:cs="Times New Roman"/>
        </w:rPr>
        <w:t>tablir</w:t>
      </w:r>
      <w:proofErr w:type="spellEnd"/>
      <w:r w:rsidRPr="00C07FE9">
        <w:rPr>
          <w:rFonts w:ascii="Times New Roman" w:hAnsi="Times New Roman" w:cs="Times New Roman"/>
        </w:rPr>
        <w:t xml:space="preserve"> les plans de passation des marchés sur la base des priorités du segment utilisateurs du PRS</w:t>
      </w:r>
    </w:p>
    <w:p w:rsidR="00C07FE9" w:rsidRPr="00C07FE9" w:rsidRDefault="00C07FE9" w:rsidP="00C07FE9">
      <w:pPr>
        <w:pStyle w:val="ListParagraph"/>
        <w:numPr>
          <w:ilvl w:val="0"/>
          <w:numId w:val="5"/>
        </w:numPr>
        <w:spacing w:after="0" w:line="240" w:lineRule="auto"/>
        <w:rPr>
          <w:rFonts w:ascii="Times New Roman" w:hAnsi="Times New Roman" w:cs="Times New Roman"/>
        </w:rPr>
      </w:pPr>
      <w:r w:rsidRPr="00C07FE9">
        <w:rPr>
          <w:rFonts w:ascii="Times New Roman" w:hAnsi="Times New Roman" w:cs="Times New Roman"/>
        </w:rPr>
        <w:t>Soutien aux activités de passation de marchés de la Commission e</w:t>
      </w:r>
      <w:r>
        <w:rPr>
          <w:rFonts w:ascii="Times New Roman" w:hAnsi="Times New Roman" w:cs="Times New Roman"/>
        </w:rPr>
        <w:t xml:space="preserve">t des agences (EUSPA, ESA) pour </w:t>
      </w:r>
      <w:r w:rsidRPr="00C07FE9">
        <w:rPr>
          <w:rFonts w:ascii="Times New Roman" w:hAnsi="Times New Roman" w:cs="Times New Roman"/>
        </w:rPr>
        <w:t>soutenir le plan de mise en œuvre du PRS</w:t>
      </w:r>
    </w:p>
    <w:p w:rsidR="00C07FE9" w:rsidRDefault="00C07FE9" w:rsidP="00C07FE9">
      <w:pPr>
        <w:pStyle w:val="ListParagraph"/>
        <w:spacing w:after="0" w:line="240" w:lineRule="auto"/>
        <w:ind w:left="426"/>
        <w:jc w:val="both"/>
        <w:rPr>
          <w:rFonts w:ascii="Times New Roman" w:hAnsi="Times New Roman" w:cs="Times New Roman"/>
        </w:rPr>
      </w:pPr>
    </w:p>
    <w:p w:rsidR="00F436D9" w:rsidRPr="00C07FE9" w:rsidRDefault="00C07FE9" w:rsidP="00C07FE9">
      <w:pPr>
        <w:pStyle w:val="ListParagraph"/>
        <w:numPr>
          <w:ilvl w:val="0"/>
          <w:numId w:val="6"/>
        </w:numPr>
        <w:spacing w:after="0" w:line="240" w:lineRule="auto"/>
        <w:jc w:val="both"/>
        <w:rPr>
          <w:rFonts w:ascii="Times New Roman" w:hAnsi="Times New Roman" w:cs="Times New Roman"/>
        </w:rPr>
      </w:pPr>
      <w:r w:rsidRPr="00C07FE9">
        <w:rPr>
          <w:rFonts w:ascii="Times New Roman" w:hAnsi="Times New Roman" w:cs="Times New Roman"/>
        </w:rPr>
        <w:t>Support à l’interface avec le conseil d’homologation de sécurité et la coordination entre les parties prenantes au programme (EUSPA, ESA) afin de garantir la disponibilité en temps utile des décisions pour les composantes du programme spatial Galileo et EGNOS, compatibles avec les feuilles de route pour la mise en œuvre.</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tabs>
          <w:tab w:val="left" w:pos="709"/>
          <w:tab w:val="left" w:pos="851"/>
          <w:tab w:val="left" w:pos="1418"/>
        </w:tabs>
        <w:spacing w:line="240" w:lineRule="auto"/>
        <w:ind w:left="709" w:hanging="284"/>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r>
      <w:r w:rsidRPr="00F436D9">
        <w:rPr>
          <w:rFonts w:ascii="Times New Roman" w:hAnsi="Times New Roman" w:cs="Times New Roman"/>
        </w:rPr>
        <w:t xml:space="preserve">Contribuer aux rôles de la Commission en matière de sécurité définis dans le plan de gestion des composantes du programme spatial Galileo et EGNOS et de leur sécurité, y compris pour assurer la maintenance des référentiels des exigences de sécurité de Galileo et d’EGNOS, de la gestion de la </w:t>
      </w:r>
      <w:proofErr w:type="spellStart"/>
      <w:r w:rsidRPr="00F436D9">
        <w:rPr>
          <w:rFonts w:ascii="Times New Roman" w:hAnsi="Times New Roman" w:cs="Times New Roman"/>
        </w:rPr>
        <w:t>cybersécurité</w:t>
      </w:r>
      <w:proofErr w:type="spellEnd"/>
      <w:r w:rsidRPr="00F436D9">
        <w:rPr>
          <w:rFonts w:ascii="Times New Roman" w:hAnsi="Times New Roman" w:cs="Times New Roman"/>
        </w:rPr>
        <w:t xml:space="preserve"> et de la gestion des crises.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Pr="00F436D9">
        <w:rPr>
          <w:rFonts w:ascii="Times New Roman" w:hAnsi="Times New Roman" w:cs="Times New Roman"/>
        </w:rPr>
        <w:t>Contribuer à la définition et la mise en œuvre du concept de gestion de la sécurité opérationnelle de Galileo par l’EUSPA et les parties prenantes concernées, conformément aux feuilles de route des composantes du programme spatial Galileo et EGNOS.</w:t>
      </w:r>
    </w:p>
    <w:p w:rsidR="00F436D9" w:rsidRPr="00F436D9" w:rsidRDefault="00F436D9" w:rsidP="00F436D9">
      <w:pPr>
        <w:pStyle w:val="ListParagraph"/>
        <w:spacing w:line="240" w:lineRule="auto"/>
        <w:ind w:left="425"/>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Pr="00F436D9">
        <w:rPr>
          <w:rFonts w:ascii="Times New Roman" w:hAnsi="Times New Roman" w:cs="Times New Roman"/>
        </w:rPr>
        <w:t xml:space="preserve">Contribuer à la définition et à la mise en œuvre du cadre de sécurité nécessaire pour assurer les responsabilités de la Commission en ce qui concerne la gestion de la sécurité des composantes du programme spatial GALILEO et EGNOS. </w:t>
      </w:r>
    </w:p>
    <w:p w:rsidR="00F436D9" w:rsidRDefault="00F436D9" w:rsidP="00F436D9">
      <w:pPr>
        <w:pStyle w:val="ListParagraph"/>
        <w:spacing w:line="240" w:lineRule="auto"/>
        <w:ind w:left="709" w:hanging="284"/>
        <w:jc w:val="both"/>
        <w:rPr>
          <w:rFonts w:ascii="Times New Roman" w:hAnsi="Times New Roman" w:cs="Times New Roman"/>
        </w:rPr>
      </w:pPr>
    </w:p>
    <w:p w:rsidR="00F436D9" w:rsidRPr="00F436D9" w:rsidRDefault="00F436D9" w:rsidP="00F436D9">
      <w:pPr>
        <w:pStyle w:val="ListParagraph"/>
        <w:spacing w:line="240" w:lineRule="auto"/>
        <w:ind w:left="709" w:hanging="284"/>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Pr="00F436D9">
        <w:rPr>
          <w:rFonts w:ascii="Times New Roman" w:hAnsi="Times New Roman" w:cs="Times New Roman"/>
        </w:rPr>
        <w:t>Soutenir la gestion des aspects liés à la sécurité des activités de mise en œuvre du programme spatial de l’UE menées par l’unité GALILEO et EGNOS de la Commission</w:t>
      </w:r>
    </w:p>
    <w:p w:rsidR="00F436D9" w:rsidRPr="00F436D9" w:rsidRDefault="00F436D9" w:rsidP="00F436D9">
      <w:pPr>
        <w:pStyle w:val="ListParagraph"/>
        <w:spacing w:line="240" w:lineRule="auto"/>
        <w:ind w:left="425"/>
        <w:jc w:val="both"/>
        <w:rPr>
          <w:rFonts w:ascii="Times New Roman" w:hAnsi="Times New Roman" w:cs="Times New Roman"/>
        </w:rPr>
      </w:pPr>
    </w:p>
    <w:p w:rsidR="00A25E7D" w:rsidRPr="00DD04B5" w:rsidRDefault="00F436D9" w:rsidP="00F436D9">
      <w:pPr>
        <w:pStyle w:val="ListParagraph"/>
        <w:spacing w:line="240" w:lineRule="auto"/>
        <w:ind w:left="425"/>
        <w:jc w:val="both"/>
        <w:rPr>
          <w:rFonts w:ascii="Times New Roman" w:hAnsi="Times New Roman" w:cs="Times New Roman"/>
        </w:rPr>
      </w:pPr>
      <w:r w:rsidRPr="00F436D9">
        <w:rPr>
          <w:rFonts w:ascii="Times New Roman" w:hAnsi="Times New Roman" w:cs="Times New Roman"/>
        </w:rPr>
        <w:t>La portée précise du poste sera établie en tenant compte des compétences du candidat retenu et des besoins de l’unité.</w:t>
      </w: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C07FE9" w:rsidRPr="00C07FE9">
        <w:rPr>
          <w:rFonts w:ascii="Times New Roman" w:hAnsi="Times New Roman" w:cs="Times New Roman"/>
        </w:rPr>
        <w:t xml:space="preserve">l’aérospatiale, les télécommunications ou l’ingénierie électronique, la physique ou les mathématiques; </w:t>
      </w:r>
      <w:r w:rsidR="00C07FE9">
        <w:rPr>
          <w:rFonts w:ascii="Times New Roman" w:hAnsi="Times New Roman" w:cs="Times New Roman"/>
        </w:rPr>
        <w:t xml:space="preserve">les </w:t>
      </w:r>
      <w:r w:rsidR="00C07FE9" w:rsidRPr="00C07FE9">
        <w:rPr>
          <w:rFonts w:ascii="Times New Roman" w:hAnsi="Times New Roman" w:cs="Times New Roman"/>
        </w:rPr>
        <w:t>systèmes de sécurité</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Connaissance et expérience de la réglementation de l’UE en matière de sécu</w:t>
      </w:r>
      <w:r>
        <w:rPr>
          <w:rFonts w:ascii="Times New Roman" w:eastAsia="Times New Roman" w:hAnsi="Times New Roman" w:cs="Times New Roman"/>
          <w:lang w:eastAsia="en-GB"/>
        </w:rPr>
        <w:t xml:space="preserve">rité (par exemple, système </w:t>
      </w:r>
      <w:r w:rsidRPr="00F436D9">
        <w:rPr>
          <w:rFonts w:ascii="Times New Roman" w:eastAsia="Times New Roman" w:hAnsi="Times New Roman" w:cs="Times New Roman"/>
          <w:lang w:eastAsia="en-GB"/>
        </w:rPr>
        <w:t>d’évaluation et d’approbation des dispositifs cryptographiques) et des no</w:t>
      </w:r>
      <w:r>
        <w:rPr>
          <w:rFonts w:ascii="Times New Roman" w:eastAsia="Times New Roman" w:hAnsi="Times New Roman" w:cs="Times New Roman"/>
          <w:lang w:eastAsia="en-GB"/>
        </w:rPr>
        <w:t xml:space="preserve">rmes de gestion de la sécurité </w:t>
      </w:r>
      <w:r w:rsidRPr="00F436D9">
        <w:rPr>
          <w:rFonts w:ascii="Times New Roman" w:eastAsia="Times New Roman" w:hAnsi="Times New Roman" w:cs="Times New Roman"/>
          <w:lang w:eastAsia="en-GB"/>
        </w:rPr>
        <w:t>(par exemple, 27000, 31000 méthodologie d’analyse des risq</w:t>
      </w:r>
      <w:r>
        <w:rPr>
          <w:rFonts w:ascii="Times New Roman" w:eastAsia="Times New Roman" w:hAnsi="Times New Roman" w:cs="Times New Roman"/>
          <w:lang w:eastAsia="en-GB"/>
        </w:rPr>
        <w:t xml:space="preserve">ues, processus d’homologation, </w:t>
      </w:r>
      <w:proofErr w:type="spellStart"/>
      <w:r w:rsidRPr="00F436D9">
        <w:rPr>
          <w:rFonts w:ascii="Times New Roman" w:eastAsia="Times New Roman" w:hAnsi="Times New Roman" w:cs="Times New Roman"/>
          <w:lang w:eastAsia="en-GB"/>
        </w:rPr>
        <w:t>cybersécurité</w:t>
      </w:r>
      <w:proofErr w:type="spellEnd"/>
      <w:r w:rsidRPr="00F436D9">
        <w:rPr>
          <w:rFonts w:ascii="Times New Roman" w:eastAsia="Times New Roman" w:hAnsi="Times New Roman" w:cs="Times New Roman"/>
          <w:lang w:eastAsia="en-GB"/>
        </w:rPr>
        <w:t>, etc.)</w:t>
      </w: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de la gestion de la sécurité dans le cadre des programmes nationaux</w:t>
      </w: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Connaissance des programmes Galileo et EGNOS (par exemple, réglemen</w:t>
      </w:r>
      <w:r>
        <w:rPr>
          <w:rFonts w:ascii="Times New Roman" w:eastAsia="Times New Roman" w:hAnsi="Times New Roman" w:cs="Times New Roman"/>
          <w:lang w:eastAsia="en-GB"/>
        </w:rPr>
        <w:t xml:space="preserve">tation du programme spatial de </w:t>
      </w:r>
      <w:r w:rsidRPr="00F436D9">
        <w:rPr>
          <w:rFonts w:ascii="Times New Roman" w:eastAsia="Times New Roman" w:hAnsi="Times New Roman" w:cs="Times New Roman"/>
          <w:lang w:eastAsia="en-GB"/>
        </w:rPr>
        <w:t>l’UE, gouvernance du rôle des parties prenantes)</w:t>
      </w:r>
    </w:p>
    <w:p w:rsid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Une connaissance du référentiel des exigences de Galileo en matière de sécu</w:t>
      </w:r>
      <w:r>
        <w:rPr>
          <w:rFonts w:ascii="Times New Roman" w:eastAsia="Times New Roman" w:hAnsi="Times New Roman" w:cs="Times New Roman"/>
          <w:lang w:eastAsia="en-GB"/>
        </w:rPr>
        <w:t xml:space="preserve">rité (PSI et annexes, SSRS3.9, </w:t>
      </w:r>
      <w:proofErr w:type="spellStart"/>
      <w:r w:rsidRPr="00F436D9">
        <w:rPr>
          <w:rFonts w:ascii="Times New Roman" w:eastAsia="Times New Roman" w:hAnsi="Times New Roman" w:cs="Times New Roman"/>
          <w:lang w:eastAsia="en-GB"/>
        </w:rPr>
        <w:t>eSSRS</w:t>
      </w:r>
      <w:proofErr w:type="spellEnd"/>
      <w:r w:rsidRPr="00F436D9">
        <w:rPr>
          <w:rFonts w:ascii="Times New Roman" w:eastAsia="Times New Roman" w:hAnsi="Times New Roman" w:cs="Times New Roman"/>
          <w:lang w:eastAsia="en-GB"/>
        </w:rPr>
        <w:t xml:space="preserve">, </w:t>
      </w:r>
      <w:proofErr w:type="spellStart"/>
      <w:r w:rsidRPr="00F436D9">
        <w:rPr>
          <w:rFonts w:ascii="Times New Roman" w:eastAsia="Times New Roman" w:hAnsi="Times New Roman" w:cs="Times New Roman"/>
          <w:lang w:eastAsia="en-GB"/>
        </w:rPr>
        <w:t>cyberexigences</w:t>
      </w:r>
      <w:proofErr w:type="spellEnd"/>
      <w:r w:rsidRPr="00F436D9">
        <w:rPr>
          <w:rFonts w:ascii="Times New Roman" w:eastAsia="Times New Roman" w:hAnsi="Times New Roman" w:cs="Times New Roman"/>
          <w:lang w:eastAsia="en-GB"/>
        </w:rPr>
        <w:t>, etc.) serait un atout.</w:t>
      </w:r>
    </w:p>
    <w:p w:rsidR="00C07FE9" w:rsidRPr="00F436D9" w:rsidRDefault="00C07FE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C07FE9">
        <w:rPr>
          <w:rFonts w:ascii="Times New Roman" w:eastAsia="Times New Roman" w:hAnsi="Times New Roman" w:cs="Times New Roman"/>
          <w:lang w:eastAsia="en-GB"/>
        </w:rPr>
        <w:t>Connaissance du cadre réglementaire du PRS (décision 1104, CMS, etc.)</w:t>
      </w: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de la gestion d’équipe et des parties prenantes</w:t>
      </w: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Expérience dans le domaine des systèmes de sécurité et de la gestion des incidents/crises</w:t>
      </w:r>
    </w:p>
    <w:p w:rsidR="00F436D9" w:rsidRPr="00F436D9"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 xml:space="preserve">Bonnes capacités de communication et de diplomatie. </w:t>
      </w:r>
    </w:p>
    <w:p w:rsidR="00CA4585" w:rsidRDefault="00F436D9" w:rsidP="00C07FE9">
      <w:pPr>
        <w:pStyle w:val="ListParagraph"/>
        <w:numPr>
          <w:ilvl w:val="0"/>
          <w:numId w:val="1"/>
        </w:numPr>
        <w:tabs>
          <w:tab w:val="left" w:pos="1843"/>
        </w:tabs>
        <w:spacing w:after="0" w:line="240" w:lineRule="auto"/>
        <w:ind w:left="993" w:right="60" w:hanging="284"/>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Le candidat est titulaire d’une habilitation de sécurité personnelle délivr</w:t>
      </w:r>
      <w:r>
        <w:rPr>
          <w:rFonts w:ascii="Times New Roman" w:eastAsia="Times New Roman" w:hAnsi="Times New Roman" w:cs="Times New Roman"/>
          <w:lang w:eastAsia="en-GB"/>
        </w:rPr>
        <w:t xml:space="preserve">ée par l’autorité nationale de </w:t>
      </w:r>
      <w:r w:rsidRPr="00F436D9">
        <w:rPr>
          <w:rFonts w:ascii="Times New Roman" w:eastAsia="Times New Roman" w:hAnsi="Times New Roman" w:cs="Times New Roman"/>
          <w:lang w:eastAsia="en-GB"/>
        </w:rPr>
        <w:t>sécurité, qui est requise pour accéder aux informations classifiées de l’UE jus</w:t>
      </w:r>
      <w:r>
        <w:rPr>
          <w:rFonts w:ascii="Times New Roman" w:eastAsia="Times New Roman" w:hAnsi="Times New Roman" w:cs="Times New Roman"/>
          <w:lang w:eastAsia="en-GB"/>
        </w:rPr>
        <w:t xml:space="preserve">qu’au niveau de classification </w:t>
      </w:r>
      <w:r w:rsidRPr="00F436D9">
        <w:rPr>
          <w:rFonts w:ascii="Times New Roman" w:eastAsia="Times New Roman" w:hAnsi="Times New Roman" w:cs="Times New Roman"/>
          <w:lang w:eastAsia="en-GB"/>
        </w:rPr>
        <w:t>SECRET UE/EU SECRET.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F436D9" w:rsidP="001978A1">
      <w:pPr>
        <w:spacing w:after="0" w:line="240" w:lineRule="auto"/>
        <w:ind w:left="709"/>
        <w:jc w:val="both"/>
        <w:rPr>
          <w:rFonts w:ascii="Times New Roman" w:eastAsia="Times New Roman" w:hAnsi="Times New Roman" w:cs="Times New Roman"/>
          <w:lang w:eastAsia="en-GB"/>
        </w:rPr>
      </w:pPr>
      <w:r w:rsidRPr="00F436D9">
        <w:rPr>
          <w:rFonts w:ascii="Times New Roman" w:eastAsia="Times New Roman" w:hAnsi="Times New Roman" w:cs="Times New Roman"/>
          <w:lang w:eastAsia="en-GB"/>
        </w:rPr>
        <w:t>Excellente connaissance de la l</w:t>
      </w:r>
      <w:r>
        <w:rPr>
          <w:rFonts w:ascii="Times New Roman" w:eastAsia="Times New Roman" w:hAnsi="Times New Roman" w:cs="Times New Roman"/>
          <w:lang w:eastAsia="en-GB"/>
        </w:rPr>
        <w:t>angue anglaise parlée et écrite</w:t>
      </w:r>
      <w:r w:rsidR="00F3030F" w:rsidRPr="00F3030F">
        <w:rPr>
          <w:rFonts w:ascii="Times New Roman" w:eastAsia="Times New Roman" w:hAnsi="Times New Roman" w:cs="Times New Roman"/>
          <w:lang w:eastAsia="en-GB"/>
        </w:rPr>
        <w: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lastRenderedPageBreak/>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C5689"/>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CDC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flament@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1821</Words>
  <Characters>10454</Characters>
  <Application>Microsoft Office Word</Application>
  <DocSecurity>0</DocSecurity>
  <Lines>237</Lines>
  <Paragraphs>127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8</cp:revision>
  <dcterms:created xsi:type="dcterms:W3CDTF">2021-12-13T17:07:00Z</dcterms:created>
  <dcterms:modified xsi:type="dcterms:W3CDTF">2021-12-13T17:17:00Z</dcterms:modified>
</cp:coreProperties>
</file>