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18696E" w:rsidP="00A25E7D">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COMP-</w:t>
            </w:r>
            <w:r w:rsidR="00A25E7D">
              <w:rPr>
                <w:rFonts w:ascii="Times New Roman" w:eastAsia="Times New Roman" w:hAnsi="Times New Roman" w:cs="Times New Roman"/>
                <w:b/>
                <w:sz w:val="24"/>
                <w:szCs w:val="20"/>
                <w:lang w:val="de-DE" w:eastAsia="en-GB"/>
              </w:rPr>
              <w:t>D-5</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A25E7D" w:rsidRPr="00A25E7D" w:rsidRDefault="00A25E7D" w:rsidP="00A25E7D">
            <w:pPr>
              <w:rPr>
                <w:rFonts w:ascii="Times New Roman" w:hAnsi="Times New Roman" w:cs="Times New Roman"/>
                <w:b/>
              </w:rPr>
            </w:pPr>
            <w:r w:rsidRPr="00A25E7D">
              <w:rPr>
                <w:rFonts w:ascii="Times New Roman" w:hAnsi="Times New Roman" w:cs="Times New Roman"/>
                <w:b/>
              </w:rPr>
              <w:t xml:space="preserve">Ulla </w:t>
            </w:r>
            <w:proofErr w:type="spellStart"/>
            <w:r w:rsidRPr="00A25E7D">
              <w:rPr>
                <w:rFonts w:ascii="Times New Roman" w:hAnsi="Times New Roman" w:cs="Times New Roman"/>
                <w:b/>
              </w:rPr>
              <w:t>Schwager</w:t>
            </w:r>
            <w:proofErr w:type="spellEnd"/>
          </w:p>
          <w:p w:rsidR="00A25E7D" w:rsidRPr="00A25E7D" w:rsidRDefault="00A25E7D" w:rsidP="00A25E7D">
            <w:pPr>
              <w:rPr>
                <w:rFonts w:ascii="Times New Roman" w:hAnsi="Times New Roman" w:cs="Times New Roman"/>
                <w:b/>
              </w:rPr>
            </w:pPr>
            <w:hyperlink r:id="rId8" w:history="1">
              <w:r w:rsidRPr="0066553F">
                <w:rPr>
                  <w:rStyle w:val="Hyperlink"/>
                  <w:rFonts w:ascii="Times New Roman" w:hAnsi="Times New Roman" w:cs="Times New Roman"/>
                  <w:b/>
                </w:rPr>
                <w:t>Ulla.Schwager@ec.europa.eu</w:t>
              </w:r>
            </w:hyperlink>
            <w:r>
              <w:rPr>
                <w:rFonts w:ascii="Times New Roman" w:hAnsi="Times New Roman" w:cs="Times New Roman"/>
                <w:b/>
              </w:rPr>
              <w:t xml:space="preserve"> </w:t>
            </w:r>
            <w:r w:rsidRPr="00A25E7D">
              <w:rPr>
                <w:rFonts w:ascii="Times New Roman" w:hAnsi="Times New Roman" w:cs="Times New Roman"/>
                <w:b/>
              </w:rPr>
              <w:t xml:space="preserve"> </w:t>
            </w:r>
          </w:p>
          <w:p w:rsidR="006A2619" w:rsidRPr="00EF1A1F" w:rsidRDefault="00A25E7D" w:rsidP="00A25E7D">
            <w:pPr>
              <w:rPr>
                <w:rFonts w:ascii="Times New Roman" w:hAnsi="Times New Roman" w:cs="Times New Roman"/>
                <w:b/>
              </w:rPr>
            </w:pPr>
            <w:r w:rsidRPr="00A25E7D">
              <w:rPr>
                <w:rFonts w:ascii="Times New Roman" w:hAnsi="Times New Roman" w:cs="Times New Roman"/>
                <w:b/>
                <w:lang w:val="en-GB"/>
              </w:rPr>
              <w:t>+32 229-75680</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EF1A1F" w:rsidP="00381739">
            <w:pPr>
              <w:rPr>
                <w:rFonts w:ascii="Times New Roman" w:hAnsi="Times New Roman" w:cs="Times New Roman"/>
                <w:b/>
              </w:rPr>
            </w:pPr>
            <w:r>
              <w:rPr>
                <w:rFonts w:ascii="Times New Roman" w:hAnsi="Times New Roman" w:cs="Times New Roman"/>
                <w:b/>
              </w:rPr>
              <w:t>2</w:t>
            </w:r>
            <w:r w:rsidRPr="00EF1A1F">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18696E"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1</w:t>
            </w:r>
            <w:r w:rsidR="00381739" w:rsidRPr="00381739">
              <w:rPr>
                <w:rFonts w:ascii="Times New Roman" w:eastAsia="Times New Roman" w:hAnsi="Times New Roman" w:cs="Times New Roman"/>
                <w:b/>
                <w:lang w:val="fr-FR" w:eastAsia="en-GB"/>
              </w:rPr>
              <w:t xml:space="preserve"> an</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A25E7D" w:rsidRPr="00A25E7D" w:rsidRDefault="00A25E7D" w:rsidP="00A25E7D">
      <w:pPr>
        <w:pStyle w:val="ListParagraph"/>
        <w:spacing w:line="240" w:lineRule="auto"/>
        <w:ind w:left="425"/>
        <w:jc w:val="both"/>
        <w:rPr>
          <w:rFonts w:ascii="Times New Roman" w:hAnsi="Times New Roman" w:cs="Times New Roman"/>
        </w:rPr>
      </w:pPr>
      <w:r w:rsidRPr="00A25E7D">
        <w:rPr>
          <w:rFonts w:ascii="Times New Roman" w:hAnsi="Times New Roman" w:cs="Times New Roman"/>
        </w:rPr>
        <w:t>Notre unité est en charge de l'analyse des fusions et acquisitions dans les secteurs clés que sont les services financiers, et les industries pharmaceutique et chimique. Les services financiers étant un secteur au cœur de l'activité économique, s'assurer que leur structure est concurrentielle contribue à la croissance et la stabilité économique. La concurrence dans l'industrie pharmaceutique est également cruciale pour permettre l'accès à des traitements médicaux à des prix compétitifs en Europe. Les produits chimiques sont quant à eux indispensables à la fabrication d'une large variété de produits: la structure des marchés de produits chimiques a ainsi un impact sur les prix de nombreux produits de consommation courante. Au vu de l'importance de ces secteurs, notre unité D6 s'engage pleinement dans le maintien de la structure concurrentielle de ces marchés au profit des consommateurs européens. L'unité fait également partie d'un réseau plus large au sein de la DG Concurrence, regroupant l'ensemble des unités dont la mission est l'application des règles de contrôle des concentrations au niveau européen dans les différents secteurs de l'économie.</w:t>
      </w:r>
    </w:p>
    <w:p w:rsidR="00A25E7D" w:rsidRPr="00A25E7D" w:rsidRDefault="00A25E7D" w:rsidP="00A25E7D">
      <w:pPr>
        <w:pStyle w:val="ListParagraph"/>
        <w:spacing w:line="240" w:lineRule="auto"/>
        <w:ind w:left="425"/>
        <w:jc w:val="both"/>
        <w:rPr>
          <w:rFonts w:ascii="Times New Roman" w:hAnsi="Times New Roman" w:cs="Times New Roman"/>
        </w:rPr>
      </w:pPr>
    </w:p>
    <w:p w:rsidR="00A25E7D" w:rsidRPr="00A25E7D" w:rsidRDefault="00A25E7D" w:rsidP="00A25E7D">
      <w:pPr>
        <w:pStyle w:val="ListParagraph"/>
        <w:spacing w:line="240" w:lineRule="auto"/>
        <w:ind w:left="425"/>
        <w:jc w:val="both"/>
        <w:rPr>
          <w:rFonts w:ascii="Times New Roman" w:hAnsi="Times New Roman" w:cs="Times New Roman"/>
        </w:rPr>
      </w:pPr>
      <w:r w:rsidRPr="00A25E7D">
        <w:rPr>
          <w:rFonts w:ascii="Times New Roman" w:hAnsi="Times New Roman" w:cs="Times New Roman"/>
        </w:rPr>
        <w:t xml:space="preserve">Nous proposons un poste de rapporteur dans un environnement dynamique et intellectuellement stimulant. Le cœur du travail de rapporteur consiste à travailler en équipe afin d'analyser ce que seront les structures de marché après une opération de concentration sur la base de différentes sources d'informations provenant notamment des entreprises réalisant la transaction, des acteurs du marché et de sources publiques. </w:t>
      </w:r>
      <w:proofErr w:type="spellStart"/>
      <w:r w:rsidRPr="00A25E7D">
        <w:rPr>
          <w:rFonts w:ascii="Times New Roman" w:hAnsi="Times New Roman" w:cs="Times New Roman"/>
        </w:rPr>
        <w:t>A</w:t>
      </w:r>
      <w:proofErr w:type="spellEnd"/>
      <w:r w:rsidRPr="00A25E7D">
        <w:rPr>
          <w:rFonts w:ascii="Times New Roman" w:hAnsi="Times New Roman" w:cs="Times New Roman"/>
        </w:rPr>
        <w:t xml:space="preserve"> cet effet, les rapporteurs conduisent une analyse prospective à la fois juridique et économique afin d'établir si une transaction est à même d'affecter la concurrence de manière significative sur les marchés concernés. Les rapporteurs sont responsables d'examiner les concentrations, de conduire les négociations avec les entreprises, de rédiger les recommandations et notes internes, ainsi que les décisions de la Commission. Le travail comprend la conduite d'investigations de marché sur la base de questionnaires, d'entretiens avec les acteurs du marché, de visites de site (usines, hôpitaux, etc.) et de discussions avec les parties de la concentration. Le travail peut également impliquer de participer à des groupes de travail et de réflexion interne sur des questions </w:t>
      </w:r>
      <w:r w:rsidRPr="00A25E7D">
        <w:rPr>
          <w:rFonts w:ascii="Times New Roman" w:hAnsi="Times New Roman" w:cs="Times New Roman"/>
        </w:rPr>
        <w:lastRenderedPageBreak/>
        <w:t>de politique de concurrence et de législation, de rédiger des briefings pour le management, le Directeur Général et le cabinet du Commissaire, ainsi que d'assister le Service Juridique de la Commission en cas de litige relatif à un cas de concentration porté devant la Cour de justice de l'Union Européenne.</w:t>
      </w:r>
    </w:p>
    <w:p w:rsidR="00A25E7D" w:rsidRPr="00A25E7D" w:rsidRDefault="00A25E7D" w:rsidP="00A25E7D">
      <w:pPr>
        <w:pStyle w:val="ListParagraph"/>
        <w:spacing w:line="240" w:lineRule="auto"/>
        <w:ind w:left="425"/>
        <w:jc w:val="both"/>
        <w:rPr>
          <w:rFonts w:ascii="Times New Roman" w:hAnsi="Times New Roman" w:cs="Times New Roman"/>
        </w:rPr>
      </w:pPr>
    </w:p>
    <w:p w:rsidR="00A25E7D" w:rsidRDefault="00A25E7D" w:rsidP="00A25E7D">
      <w:pPr>
        <w:pStyle w:val="ListParagraph"/>
        <w:spacing w:line="240" w:lineRule="auto"/>
        <w:ind w:left="425"/>
        <w:jc w:val="both"/>
        <w:rPr>
          <w:rFonts w:ascii="Times New Roman" w:hAnsi="Times New Roman" w:cs="Times New Roman"/>
        </w:rPr>
      </w:pPr>
      <w:r w:rsidRPr="00A25E7D">
        <w:rPr>
          <w:rFonts w:ascii="Times New Roman" w:hAnsi="Times New Roman" w:cs="Times New Roman"/>
        </w:rPr>
        <w:t>L'unité couvre un vaste panel d'industries, conduisant à une courbe d'apprentissage rapide et la possibilité d'explorer différents effets anticoncurrentiels. Les unités en charge du contrôle des concentrations sont organisées en réseau, donnant ainsi l'opportunité aux rapporteurs de travailler sur des opérations de concentration dans des industries variées, y compris en dehors du périmètre de leur unité. Le travail est exigeant en raison des délais juridiques stricts dans lesquels la Commission doit émettre son avis, mais c'est également un travail varié, enrichissant, ayant un réel impact sur l'économie et le quotidien des consommateurs, et réalisé dans une atmosphère de travail jeune et dynamique. Discussion et créativité sont encouragées car les affaires soulèvent souvent des questions nouvelles tant en termes juridiques qu'économiques. Le réseau des unités chargées du contrôle des concentrations est peu hiérarchique: les équipes dirigées par un chef de projet rapportent directement au Directeur et au Directeur Général Adjoint en charge des fusions.</w:t>
      </w:r>
    </w:p>
    <w:p w:rsidR="00A25E7D" w:rsidRPr="00A25E7D" w:rsidRDefault="00A25E7D" w:rsidP="00A25E7D">
      <w:pPr>
        <w:pStyle w:val="ListParagraph"/>
        <w:spacing w:line="240" w:lineRule="auto"/>
        <w:ind w:left="425"/>
        <w:jc w:val="both"/>
        <w:rPr>
          <w:rFonts w:ascii="Times New Roman" w:hAnsi="Times New Roman" w:cs="Times New Roman"/>
        </w:rPr>
      </w:pPr>
    </w:p>
    <w:p w:rsidR="001978A1" w:rsidRDefault="00A25E7D" w:rsidP="00A25E7D">
      <w:pPr>
        <w:pStyle w:val="ListParagraph"/>
        <w:spacing w:line="240" w:lineRule="auto"/>
        <w:ind w:left="425"/>
        <w:jc w:val="both"/>
        <w:rPr>
          <w:rFonts w:ascii="Times New Roman" w:hAnsi="Times New Roman" w:cs="Times New Roman"/>
        </w:rPr>
      </w:pPr>
      <w:r w:rsidRPr="00A25E7D">
        <w:rPr>
          <w:rFonts w:ascii="Times New Roman" w:hAnsi="Times New Roman" w:cs="Times New Roman"/>
        </w:rPr>
        <w:t>Le candidat idéal est curieux, dynamique, ayant du bon sens et appréciant un rythme de travail soutenu. Nous recherchons une personne ayant de très bonnes capacités analytiques et rédactionnelles, qui soit proactive et capable de réaliser des tâches dans des délais serrés. Le candidat doit être ouvert et capable de travailler en équipe.</w:t>
      </w:r>
    </w:p>
    <w:p w:rsidR="00A25E7D" w:rsidRPr="001978A1" w:rsidRDefault="00A25E7D" w:rsidP="00A25E7D">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3B211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A25E7D" w:rsidRPr="00A25E7D">
        <w:rPr>
          <w:rFonts w:ascii="Times New Roman" w:hAnsi="Times New Roman" w:cs="Times New Roman"/>
        </w:rPr>
        <w:t>droit, économie ou administration des affaires de préférence. Nous apprécions et favorisons la diversité des profils, et considérons donc également les candidatures de personnes avec d'autres formations, tels que les sciences et l'ingénierie.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A4585" w:rsidRDefault="00A25E7D"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r w:rsidRPr="00A25E7D">
        <w:rPr>
          <w:rFonts w:ascii="Times New Roman" w:eastAsia="Times New Roman" w:hAnsi="Times New Roman" w:cs="Times New Roman"/>
          <w:lang w:eastAsia="en-GB"/>
        </w:rPr>
        <w:t>Une expérience en droit de la concurrence est un plus, mais n'est pas une condition nécessaire.</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lastRenderedPageBreak/>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A25E7D" w:rsidP="001978A1">
      <w:pPr>
        <w:spacing w:after="0" w:line="240" w:lineRule="auto"/>
        <w:ind w:left="709"/>
        <w:jc w:val="both"/>
        <w:rPr>
          <w:rFonts w:ascii="Times New Roman" w:eastAsia="Times New Roman" w:hAnsi="Times New Roman" w:cs="Times New Roman"/>
          <w:lang w:eastAsia="en-GB"/>
        </w:rPr>
      </w:pPr>
      <w:r w:rsidRPr="00A25E7D">
        <w:rPr>
          <w:rFonts w:ascii="Times New Roman" w:eastAsia="Times New Roman" w:hAnsi="Times New Roman" w:cs="Times New Roman"/>
          <w:lang w:eastAsia="en-GB"/>
        </w:rPr>
        <w:t>Connaissance d'au moins 2 langues communautaires, en particulier très bonnes connaissances en anglais à l'oral et l'écrit.</w:t>
      </w:r>
      <w:bookmarkStart w:id="0" w:name="_GoBack"/>
      <w:bookmarkEnd w:id="0"/>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626024" w:rsidRDefault="00626024"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89"/>
    <w:multiLevelType w:val="hybridMultilevel"/>
    <w:tmpl w:val="E084AE7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1CD0193C"/>
    <w:multiLevelType w:val="hybridMultilevel"/>
    <w:tmpl w:val="0692750A"/>
    <w:lvl w:ilvl="0" w:tplc="6104506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2"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7"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0"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1"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4"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5"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6"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7"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8"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0" w15:restartNumberingAfterBreak="0">
    <w:nsid w:val="649151EB"/>
    <w:multiLevelType w:val="hybridMultilevel"/>
    <w:tmpl w:val="EFDA21FC"/>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1"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2"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5"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6"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7"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8"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9"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22"/>
  </w:num>
  <w:num w:numId="2">
    <w:abstractNumId w:val="31"/>
  </w:num>
  <w:num w:numId="3">
    <w:abstractNumId w:val="27"/>
  </w:num>
  <w:num w:numId="4">
    <w:abstractNumId w:val="21"/>
  </w:num>
  <w:num w:numId="5">
    <w:abstractNumId w:val="26"/>
  </w:num>
  <w:num w:numId="6">
    <w:abstractNumId w:val="14"/>
  </w:num>
  <w:num w:numId="7">
    <w:abstractNumId w:val="11"/>
  </w:num>
  <w:num w:numId="8">
    <w:abstractNumId w:val="34"/>
  </w:num>
  <w:num w:numId="9">
    <w:abstractNumId w:val="16"/>
  </w:num>
  <w:num w:numId="10">
    <w:abstractNumId w:val="9"/>
  </w:num>
  <w:num w:numId="11">
    <w:abstractNumId w:val="35"/>
  </w:num>
  <w:num w:numId="12">
    <w:abstractNumId w:val="28"/>
  </w:num>
  <w:num w:numId="13">
    <w:abstractNumId w:val="13"/>
  </w:num>
  <w:num w:numId="14">
    <w:abstractNumId w:val="15"/>
  </w:num>
  <w:num w:numId="15">
    <w:abstractNumId w:val="5"/>
  </w:num>
  <w:num w:numId="16">
    <w:abstractNumId w:val="32"/>
  </w:num>
  <w:num w:numId="17">
    <w:abstractNumId w:val="39"/>
  </w:num>
  <w:num w:numId="18">
    <w:abstractNumId w:val="38"/>
  </w:num>
  <w:num w:numId="19">
    <w:abstractNumId w:val="1"/>
  </w:num>
  <w:num w:numId="20">
    <w:abstractNumId w:val="6"/>
  </w:num>
  <w:num w:numId="21">
    <w:abstractNumId w:val="24"/>
  </w:num>
  <w:num w:numId="22">
    <w:abstractNumId w:val="36"/>
  </w:num>
  <w:num w:numId="23">
    <w:abstractNumId w:val="3"/>
  </w:num>
  <w:num w:numId="24">
    <w:abstractNumId w:val="4"/>
  </w:num>
  <w:num w:numId="25">
    <w:abstractNumId w:val="20"/>
  </w:num>
  <w:num w:numId="26">
    <w:abstractNumId w:val="37"/>
  </w:num>
  <w:num w:numId="27">
    <w:abstractNumId w:val="8"/>
  </w:num>
  <w:num w:numId="28">
    <w:abstractNumId w:val="29"/>
  </w:num>
  <w:num w:numId="29">
    <w:abstractNumId w:val="12"/>
  </w:num>
  <w:num w:numId="30">
    <w:abstractNumId w:val="33"/>
  </w:num>
  <w:num w:numId="31">
    <w:abstractNumId w:val="10"/>
  </w:num>
  <w:num w:numId="32">
    <w:abstractNumId w:val="17"/>
  </w:num>
  <w:num w:numId="33">
    <w:abstractNumId w:val="23"/>
  </w:num>
  <w:num w:numId="34">
    <w:abstractNumId w:val="25"/>
  </w:num>
  <w:num w:numId="35">
    <w:abstractNumId w:val="19"/>
  </w:num>
  <w:num w:numId="36">
    <w:abstractNumId w:val="18"/>
  </w:num>
  <w:num w:numId="37">
    <w:abstractNumId w:val="2"/>
  </w:num>
  <w:num w:numId="38">
    <w:abstractNumId w:val="0"/>
  </w:num>
  <w:num w:numId="39">
    <w:abstractNumId w:val="30"/>
  </w:num>
  <w:num w:numId="4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6553B"/>
    <w:rsid w:val="00083A77"/>
    <w:rsid w:val="000B552E"/>
    <w:rsid w:val="000B6701"/>
    <w:rsid w:val="000D3C7E"/>
    <w:rsid w:val="000D7956"/>
    <w:rsid w:val="000E6DA3"/>
    <w:rsid w:val="00112337"/>
    <w:rsid w:val="0018696E"/>
    <w:rsid w:val="0019598C"/>
    <w:rsid w:val="001978A1"/>
    <w:rsid w:val="001B1A88"/>
    <w:rsid w:val="001C3142"/>
    <w:rsid w:val="001D1CEB"/>
    <w:rsid w:val="001F18BF"/>
    <w:rsid w:val="001F3AF6"/>
    <w:rsid w:val="001F6A8B"/>
    <w:rsid w:val="002532CB"/>
    <w:rsid w:val="00253D2A"/>
    <w:rsid w:val="00294A59"/>
    <w:rsid w:val="002A3536"/>
    <w:rsid w:val="002D3AB2"/>
    <w:rsid w:val="002D5733"/>
    <w:rsid w:val="003076C4"/>
    <w:rsid w:val="0032075E"/>
    <w:rsid w:val="003445AE"/>
    <w:rsid w:val="0035623E"/>
    <w:rsid w:val="00381739"/>
    <w:rsid w:val="003A1412"/>
    <w:rsid w:val="003B2113"/>
    <w:rsid w:val="003B5714"/>
    <w:rsid w:val="003C037E"/>
    <w:rsid w:val="003F6A25"/>
    <w:rsid w:val="004061B8"/>
    <w:rsid w:val="00443EC9"/>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F273B"/>
    <w:rsid w:val="00745B97"/>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25E7D"/>
    <w:rsid w:val="00A516E1"/>
    <w:rsid w:val="00A955DE"/>
    <w:rsid w:val="00A9645C"/>
    <w:rsid w:val="00AA2606"/>
    <w:rsid w:val="00B15B47"/>
    <w:rsid w:val="00B252C1"/>
    <w:rsid w:val="00B3294A"/>
    <w:rsid w:val="00B32F63"/>
    <w:rsid w:val="00B36D07"/>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E109FB"/>
    <w:rsid w:val="00E373AA"/>
    <w:rsid w:val="00E441A0"/>
    <w:rsid w:val="00EA2848"/>
    <w:rsid w:val="00ED6F74"/>
    <w:rsid w:val="00EF1A1F"/>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DDA2"/>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lla.Schwager@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1764</Words>
  <Characters>10130</Characters>
  <Application>Microsoft Office Word</Application>
  <DocSecurity>0</DocSecurity>
  <Lines>198</Lines>
  <Paragraphs>82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2021-12-09T17:39:00Z</dcterms:created>
  <dcterms:modified xsi:type="dcterms:W3CDTF">2021-12-09T17:39:00Z</dcterms:modified>
</cp:coreProperties>
</file>